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71" w:rsidRDefault="00556671" w:rsidP="0055667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  <w:r w:rsidRPr="00A46A98">
        <w:rPr>
          <w:rFonts w:ascii="Arial" w:hAnsi="Arial" w:cs="Arial"/>
          <w:b/>
          <w:sz w:val="40"/>
          <w:szCs w:val="40"/>
        </w:rPr>
        <w:t>INFORME DE PERTENENCIA SOCIOLINGÜÍSTICA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  <w:r w:rsidRPr="00A46A98">
        <w:rPr>
          <w:rStyle w:val="Textoennegrita"/>
          <w:rFonts w:ascii="Arial" w:hAnsi="Arial" w:cs="Arial"/>
          <w:color w:val="000000"/>
          <w:sz w:val="32"/>
          <w:szCs w:val="32"/>
          <w:shd w:val="clear" w:color="auto" w:fill="EEEEEE"/>
        </w:rPr>
        <w:t>DIRECCIÓN GENERAL DE CORREOS Y TELÉGRAFOS DE GUATEMALA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AA34A4" w:rsidP="00DD7DE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Guatemala, </w:t>
      </w:r>
      <w:r w:rsidR="00690A65">
        <w:rPr>
          <w:rFonts w:ascii="Arial" w:hAnsi="Arial" w:cs="Arial"/>
          <w:b/>
          <w:sz w:val="24"/>
          <w:szCs w:val="24"/>
        </w:rPr>
        <w:t>noviembre</w:t>
      </w:r>
      <w:r w:rsidR="00DD7DE7">
        <w:rPr>
          <w:rFonts w:ascii="Arial" w:hAnsi="Arial" w:cs="Arial"/>
          <w:b/>
          <w:sz w:val="24"/>
          <w:szCs w:val="24"/>
        </w:rPr>
        <w:t xml:space="preserve"> 202</w:t>
      </w:r>
      <w:r w:rsidR="00937D0F">
        <w:rPr>
          <w:rFonts w:ascii="Arial" w:hAnsi="Arial" w:cs="Arial"/>
          <w:b/>
          <w:sz w:val="24"/>
          <w:szCs w:val="24"/>
        </w:rPr>
        <w:t>2</w:t>
      </w: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C85518" w:rsidRDefault="00C85518" w:rsidP="00556671">
      <w:pPr>
        <w:jc w:val="center"/>
        <w:rPr>
          <w:rFonts w:ascii="Arial" w:hAnsi="Arial" w:cs="Arial"/>
          <w:b/>
          <w:sz w:val="24"/>
          <w:szCs w:val="24"/>
        </w:rPr>
        <w:sectPr w:rsidR="00C85518" w:rsidSect="000667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2552" w:right="1701" w:bottom="2694" w:left="1701" w:header="708" w:footer="708" w:gutter="0"/>
          <w:cols w:space="708"/>
          <w:titlePg/>
          <w:docGrid w:linePitch="360"/>
        </w:sect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Pr="000E4374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Pr="000E4374" w:rsidRDefault="00556671" w:rsidP="00DD7DE7">
      <w:pPr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val="es-ES" w:eastAsia="en-US"/>
        </w:rPr>
        <w:id w:val="-3504944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C378D" w:rsidRPr="003A174F" w:rsidRDefault="00BC378D">
          <w:pPr>
            <w:pStyle w:val="TtulodeTDC"/>
            <w:rPr>
              <w:rFonts w:ascii="Arial" w:hAnsi="Arial" w:cs="Arial"/>
              <w:sz w:val="24"/>
              <w:szCs w:val="24"/>
              <w:lang w:val="es-ES"/>
            </w:rPr>
          </w:pPr>
          <w:r w:rsidRPr="003A174F">
            <w:rPr>
              <w:rFonts w:ascii="Arial" w:hAnsi="Arial" w:cs="Arial"/>
              <w:sz w:val="24"/>
              <w:szCs w:val="24"/>
              <w:lang w:val="es-ES"/>
            </w:rPr>
            <w:t>Contenido</w:t>
          </w:r>
        </w:p>
        <w:p w:rsidR="000E4374" w:rsidRPr="003A174F" w:rsidRDefault="000E4374" w:rsidP="000E4374">
          <w:pPr>
            <w:rPr>
              <w:rFonts w:ascii="Arial" w:hAnsi="Arial" w:cs="Arial"/>
              <w:sz w:val="24"/>
              <w:szCs w:val="24"/>
              <w:lang w:val="es-ES" w:eastAsia="es-GT"/>
            </w:rPr>
          </w:pPr>
        </w:p>
        <w:p w:rsidR="003A174F" w:rsidRPr="003A174F" w:rsidRDefault="00BC378D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r w:rsidRPr="003A174F">
            <w:rPr>
              <w:rFonts w:ascii="Arial" w:hAnsi="Arial" w:cs="Arial"/>
              <w:sz w:val="24"/>
              <w:szCs w:val="24"/>
            </w:rPr>
            <w:fldChar w:fldCharType="begin"/>
          </w:r>
          <w:r w:rsidRPr="003A174F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3A174F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21146053" w:history="1">
            <w:r w:rsidR="003A174F" w:rsidRPr="003A174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a)</w:t>
            </w:r>
            <w:r w:rsidR="003A174F" w:rsidRPr="003A174F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3A174F" w:rsidRPr="003A174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ANTECEDENTES</w: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_Toc121146053 \h </w:instrTex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81002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174F" w:rsidRPr="003A174F" w:rsidRDefault="00081002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21146054" w:history="1">
            <w:r w:rsidR="003A174F" w:rsidRPr="003A174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b)</w:t>
            </w:r>
            <w:r w:rsidR="003A174F" w:rsidRPr="003A174F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3A174F" w:rsidRPr="003A174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ELABORACIÓN DEL INFORME</w: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_Toc121146054 \h </w:instrTex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174F" w:rsidRPr="003A174F" w:rsidRDefault="00081002">
          <w:pPr>
            <w:pStyle w:val="TDC2"/>
            <w:tabs>
              <w:tab w:val="left" w:pos="66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21146055" w:history="1">
            <w:r w:rsidR="003A174F" w:rsidRPr="003A174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</w:t>
            </w:r>
            <w:r w:rsidR="003A174F" w:rsidRPr="003A174F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3A174F" w:rsidRPr="003A174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Descripción de la recopilación de los datos</w: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_Toc121146055 \h </w:instrTex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174F" w:rsidRPr="003A174F" w:rsidRDefault="00081002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21146056" w:history="1">
            <w:r w:rsidR="003A174F" w:rsidRPr="003A174F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  <w:lang w:eastAsia="es-GT"/>
              </w:rPr>
              <w:t>Cuadro 1: Formato de registro de los beneficiarios del servicio postal, con enfoque de pertenencia Sociolingüística</w: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_Toc121146056 \h </w:instrTex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174F" w:rsidRPr="003A174F" w:rsidRDefault="00081002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21146057" w:history="1">
            <w:r w:rsidR="003A174F" w:rsidRPr="003A174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Imagen 1: Formato de la boleta digital</w: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_Toc121146057 \h </w:instrTex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174F" w:rsidRPr="003A174F" w:rsidRDefault="00081002">
          <w:pPr>
            <w:pStyle w:val="TDC2"/>
            <w:tabs>
              <w:tab w:val="left" w:pos="66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21146058" w:history="1">
            <w:r w:rsidR="003A174F" w:rsidRPr="003A174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2.</w:t>
            </w:r>
            <w:r w:rsidR="003A174F" w:rsidRPr="003A174F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3A174F" w:rsidRPr="003A174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Análisis de datos</w: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_Toc121146058 \h </w:instrTex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174F" w:rsidRPr="003A174F" w:rsidRDefault="00081002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21146059" w:history="1">
            <w:r w:rsidR="003A174F" w:rsidRPr="003A174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Gráfico 1: Beneficiarios del servicio postal según pertenencia, Noviembre 2022</w: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_Toc121146059 \h </w:instrTex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174F" w:rsidRPr="003A174F" w:rsidRDefault="00081002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21146060" w:history="1">
            <w:r w:rsidR="003A174F" w:rsidRPr="003A174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Gráfico 2: Pueblo al que pertenecen los usuarios del servicio Postal del mes de noviembre del 2022</w: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_Toc121146060 \h </w:instrTex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174F" w:rsidRPr="003A174F" w:rsidRDefault="00081002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21146061" w:history="1">
            <w:r w:rsidR="003A174F" w:rsidRPr="003A174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Gráfico 3: Comunidad lingüística de los beneficiarios del servicio postal del mes de noviembre del 2022</w: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_Toc121146061 \h </w:instrTex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3A174F" w:rsidRPr="003A174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378D" w:rsidRPr="003A174F" w:rsidRDefault="00BC378D">
          <w:pPr>
            <w:rPr>
              <w:rFonts w:ascii="Arial" w:hAnsi="Arial" w:cs="Arial"/>
              <w:sz w:val="24"/>
              <w:szCs w:val="24"/>
            </w:rPr>
          </w:pPr>
          <w:r w:rsidRPr="003A174F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D67155" w:rsidRDefault="00D67155" w:rsidP="00D67155">
      <w:pPr>
        <w:rPr>
          <w:rFonts w:ascii="Arial" w:hAnsi="Arial" w:cs="Arial"/>
          <w:b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BB2B81" w:rsidP="00D671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C85518" w:rsidRDefault="00C85518" w:rsidP="00D67155">
      <w:pPr>
        <w:rPr>
          <w:rFonts w:ascii="Arial" w:hAnsi="Arial" w:cs="Arial"/>
          <w:sz w:val="24"/>
          <w:szCs w:val="24"/>
        </w:rPr>
        <w:sectPr w:rsidR="00C85518" w:rsidSect="00066747">
          <w:pgSz w:w="12240" w:h="15840" w:code="1"/>
          <w:pgMar w:top="2552" w:right="1701" w:bottom="2694" w:left="1701" w:header="708" w:footer="708" w:gutter="0"/>
          <w:cols w:space="708"/>
          <w:titlePg/>
          <w:docGrid w:linePitch="360"/>
        </w:sectPr>
      </w:pPr>
    </w:p>
    <w:p w:rsidR="009F5815" w:rsidRDefault="009F5815" w:rsidP="002272AF">
      <w:pPr>
        <w:pStyle w:val="Ttulo1"/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b w:val="0"/>
          <w:color w:val="auto"/>
        </w:rPr>
      </w:pPr>
      <w:bookmarkStart w:id="1" w:name="_Toc121146053"/>
      <w:r w:rsidRPr="00552E24">
        <w:rPr>
          <w:color w:val="auto"/>
        </w:rPr>
        <w:t>ANTECEDENTES</w:t>
      </w:r>
      <w:bookmarkEnd w:id="1"/>
    </w:p>
    <w:p w:rsidR="00DD7DE7" w:rsidRPr="009F5815" w:rsidRDefault="00DD7DE7" w:rsidP="00DD7DE7">
      <w:pPr>
        <w:spacing w:line="360" w:lineRule="auto"/>
        <w:rPr>
          <w:rFonts w:ascii="Arial" w:hAnsi="Arial" w:cs="Arial"/>
          <w:sz w:val="24"/>
          <w:szCs w:val="24"/>
        </w:rPr>
      </w:pPr>
    </w:p>
    <w:p w:rsidR="00B02070" w:rsidRDefault="00DD7DE7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5815">
        <w:rPr>
          <w:rFonts w:ascii="Arial" w:hAnsi="Arial" w:cs="Arial"/>
          <w:sz w:val="24"/>
          <w:szCs w:val="24"/>
        </w:rPr>
        <w:t xml:space="preserve">La Ley de Idiomas Nacionales, Decreto 19-2003 del Congreso de la República de Guatemala, según su artículo 4, tiene como objeto regular lo relativo al reconocimiento, respeto, promoción, desarrollo y utilización de los idiomas de los pueblos Mayas, Garífuna y </w:t>
      </w:r>
      <w:proofErr w:type="spellStart"/>
      <w:r w:rsidRPr="009F5815">
        <w:rPr>
          <w:rFonts w:ascii="Arial" w:hAnsi="Arial" w:cs="Arial"/>
          <w:sz w:val="24"/>
          <w:szCs w:val="24"/>
        </w:rPr>
        <w:t>Xin</w:t>
      </w:r>
      <w:r w:rsidR="00B10D38">
        <w:rPr>
          <w:rFonts w:ascii="Arial" w:hAnsi="Arial" w:cs="Arial"/>
          <w:sz w:val="24"/>
          <w:szCs w:val="24"/>
        </w:rPr>
        <w:t>k</w:t>
      </w:r>
      <w:r w:rsidRPr="009F5815">
        <w:rPr>
          <w:rFonts w:ascii="Arial" w:hAnsi="Arial" w:cs="Arial"/>
          <w:sz w:val="24"/>
          <w:szCs w:val="24"/>
        </w:rPr>
        <w:t>a</w:t>
      </w:r>
      <w:proofErr w:type="spellEnd"/>
      <w:r w:rsidRPr="009F5815">
        <w:rPr>
          <w:rFonts w:ascii="Arial" w:hAnsi="Arial" w:cs="Arial"/>
          <w:sz w:val="24"/>
          <w:szCs w:val="24"/>
        </w:rPr>
        <w:t xml:space="preserve">, y su observancia en irrestricto apego a la Constitución Política de la República y al respeto y ejercicio de los derechos humanos. De igual forma en el artículo 7, coloca como responsables al Organismo Ejecutivo y sus instituciones, en coordinación con las entidades autónomas y descentralizadas, la ejecución efectiva de la política de fomento, reconocimiento, desarrollo y utilización de los idiomas </w:t>
      </w:r>
      <w:r w:rsidR="00D67155" w:rsidRPr="009F5815">
        <w:rPr>
          <w:rFonts w:ascii="Arial" w:hAnsi="Arial" w:cs="Arial"/>
          <w:sz w:val="24"/>
          <w:szCs w:val="24"/>
        </w:rPr>
        <w:t>mayas</w:t>
      </w:r>
      <w:r w:rsidRPr="009F5815">
        <w:rPr>
          <w:rFonts w:ascii="Arial" w:hAnsi="Arial" w:cs="Arial"/>
          <w:sz w:val="24"/>
          <w:szCs w:val="24"/>
        </w:rPr>
        <w:t xml:space="preserve">, Garífuna y </w:t>
      </w:r>
      <w:proofErr w:type="spellStart"/>
      <w:r w:rsidRPr="009F5815">
        <w:rPr>
          <w:rFonts w:ascii="Arial" w:hAnsi="Arial" w:cs="Arial"/>
          <w:sz w:val="24"/>
          <w:szCs w:val="24"/>
        </w:rPr>
        <w:t>Xin</w:t>
      </w:r>
      <w:r w:rsidR="00B10D38">
        <w:rPr>
          <w:rFonts w:ascii="Arial" w:hAnsi="Arial" w:cs="Arial"/>
          <w:sz w:val="24"/>
          <w:szCs w:val="24"/>
        </w:rPr>
        <w:t>k</w:t>
      </w:r>
      <w:r w:rsidRPr="009F5815">
        <w:rPr>
          <w:rFonts w:ascii="Arial" w:hAnsi="Arial" w:cs="Arial"/>
          <w:sz w:val="24"/>
          <w:szCs w:val="24"/>
        </w:rPr>
        <w:t>a</w:t>
      </w:r>
      <w:proofErr w:type="spellEnd"/>
      <w:r w:rsidRPr="009F5815">
        <w:rPr>
          <w:rFonts w:ascii="Arial" w:hAnsi="Arial" w:cs="Arial"/>
          <w:sz w:val="24"/>
          <w:szCs w:val="24"/>
        </w:rPr>
        <w:t>, contenida en esa ley. Específicamente en el artículo 10 de la ley mencionada, se estableció que: “Las entidades e instituciones del Estado deberán llevar registros, actualizar y reportar datos sobre la pertenencia sociolingüística de los usuarios de sus servicios, a efecto de adecuar la prestación de los mismos”, por lo que se debe hacer notar que dichas entidades e instituciones están obligadas a elaborar esos reportes desde el año 2003 cuando la ley entró en vigencia</w:t>
      </w:r>
      <w:r w:rsidR="00330C1F">
        <w:rPr>
          <w:rFonts w:ascii="Arial" w:hAnsi="Arial" w:cs="Arial"/>
          <w:sz w:val="24"/>
          <w:szCs w:val="24"/>
        </w:rPr>
        <w:t>.</w:t>
      </w:r>
      <w:r w:rsidRPr="009F5815">
        <w:rPr>
          <w:rFonts w:ascii="Arial" w:hAnsi="Arial" w:cs="Arial"/>
          <w:sz w:val="24"/>
          <w:szCs w:val="24"/>
        </w:rPr>
        <w:t xml:space="preserve"> La obligación de dicho reporte no nace con la Ley de Acceso a la Información Pública, sino que 6 años después, la ley en materia de Acceso establece la obligatoriedad de la publicación de oficio del Informe ya establecido </w:t>
      </w:r>
      <w:r w:rsidR="00BB2B81">
        <w:rPr>
          <w:rFonts w:ascii="Arial" w:hAnsi="Arial" w:cs="Arial"/>
          <w:sz w:val="24"/>
          <w:szCs w:val="24"/>
        </w:rPr>
        <w:t>en la Ley de Idiomas Nacionales.</w:t>
      </w:r>
    </w:p>
    <w:p w:rsidR="00BC378D" w:rsidRDefault="00BC378D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26B4" w:rsidRDefault="00C326B4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26B4" w:rsidRPr="00BB2B81" w:rsidRDefault="00C326B4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color w:val="auto"/>
        </w:rPr>
      </w:pPr>
      <w:bookmarkStart w:id="2" w:name="_Toc121146054"/>
      <w:r w:rsidRPr="00552E24">
        <w:rPr>
          <w:color w:val="auto"/>
        </w:rPr>
        <w:lastRenderedPageBreak/>
        <w:t>ELABORACIÓN DEL INFORME</w:t>
      </w:r>
      <w:bookmarkEnd w:id="2"/>
    </w:p>
    <w:p w:rsidR="00DD7DE7" w:rsidRPr="000E4374" w:rsidRDefault="00DD7DE7" w:rsidP="0016397E">
      <w:pPr>
        <w:pStyle w:val="Ttulo2"/>
        <w:numPr>
          <w:ilvl w:val="0"/>
          <w:numId w:val="3"/>
        </w:numPr>
        <w:rPr>
          <w:rFonts w:ascii="Arial" w:hAnsi="Arial" w:cs="Arial"/>
          <w:color w:val="auto"/>
        </w:rPr>
      </w:pPr>
      <w:bookmarkStart w:id="3" w:name="_Toc121146055"/>
      <w:r w:rsidRPr="000E4374">
        <w:rPr>
          <w:rFonts w:ascii="Arial" w:hAnsi="Arial" w:cs="Arial"/>
          <w:color w:val="auto"/>
        </w:rPr>
        <w:t>Descripción de la recopilación de los datos</w:t>
      </w:r>
      <w:bookmarkEnd w:id="3"/>
    </w:p>
    <w:p w:rsidR="00DD7DE7" w:rsidRPr="00332FD3" w:rsidRDefault="00DD7DE7" w:rsidP="00DD7DE7"/>
    <w:p w:rsidR="00DD7DE7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General de Correos y Telégrafos presenta reportes estadísticos de la pertenencia étnica de los beneficiarios del servicio postal y actualmente se están diseñando nuevos formatos de registro de los beneficiarios tomando en consideración el sexo y edad de las personas, su pertenencia étnica y la comunidad lingüística a la que pertenecen refiriéndose a los idiomas reconocidos por la Ley de Idiomas Nacionales.</w:t>
      </w:r>
    </w:p>
    <w:tbl>
      <w:tblPr>
        <w:tblpPr w:leftFromText="141" w:rightFromText="141" w:vertAnchor="text" w:horzAnchor="page" w:tblpX="2086" w:tblpY="222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FD796C" w:rsidRPr="003964E4" w:rsidTr="00FD796C">
        <w:trPr>
          <w:trHeight w:val="543"/>
        </w:trPr>
        <w:tc>
          <w:tcPr>
            <w:tcW w:w="9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96C" w:rsidRPr="00552E24" w:rsidRDefault="00FD796C" w:rsidP="00FD796C">
            <w:pPr>
              <w:pStyle w:val="Ttulo2"/>
              <w:ind w:left="720"/>
              <w:jc w:val="center"/>
              <w:rPr>
                <w:rFonts w:eastAsia="Times New Roman"/>
                <w:color w:val="auto"/>
                <w:lang w:eastAsia="es-GT"/>
              </w:rPr>
            </w:pPr>
            <w:bookmarkStart w:id="4" w:name="_Toc121146056"/>
            <w:r w:rsidRPr="002E6496"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5BECDC7A" wp14:editId="28D327A3">
                  <wp:simplePos x="0" y="0"/>
                  <wp:positionH relativeFrom="margin">
                    <wp:posOffset>346075</wp:posOffset>
                  </wp:positionH>
                  <wp:positionV relativeFrom="paragraph">
                    <wp:posOffset>803910</wp:posOffset>
                  </wp:positionV>
                  <wp:extent cx="5613400" cy="3112770"/>
                  <wp:effectExtent l="0" t="0" r="635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0" cy="311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2E24">
              <w:rPr>
                <w:rFonts w:eastAsia="Times New Roman"/>
                <w:color w:val="auto"/>
                <w:lang w:eastAsia="es-GT"/>
              </w:rPr>
              <w:t>Cuadro 1: Formato de registro de los beneficiarios del servicio postal, con enfoque de pertenencia Sociolingüística</w:t>
            </w:r>
            <w:bookmarkEnd w:id="4"/>
          </w:p>
          <w:p w:rsidR="00FD796C" w:rsidRPr="003964E4" w:rsidRDefault="00FD796C" w:rsidP="00FD796C">
            <w:pPr>
              <w:pStyle w:val="Ttulo2"/>
              <w:ind w:left="720"/>
              <w:rPr>
                <w:rFonts w:eastAsia="Times New Roman"/>
                <w:lang w:eastAsia="es-GT"/>
              </w:rPr>
            </w:pPr>
          </w:p>
        </w:tc>
      </w:tr>
      <w:tr w:rsidR="00FD796C" w:rsidRPr="003964E4" w:rsidTr="00FD796C">
        <w:trPr>
          <w:trHeight w:val="5971"/>
        </w:trPr>
        <w:tc>
          <w:tcPr>
            <w:tcW w:w="97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96C" w:rsidRPr="003964E4" w:rsidRDefault="00FD796C" w:rsidP="00FD7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</w:tr>
    </w:tbl>
    <w:p w:rsidR="00435AF0" w:rsidRDefault="00435AF0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5AF0" w:rsidRDefault="00435AF0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5AF0" w:rsidRDefault="00435AF0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5AF0" w:rsidRDefault="00435AF0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5AF0" w:rsidRDefault="00435AF0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5AF0" w:rsidRDefault="00435AF0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5AF0" w:rsidRDefault="00435AF0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5AF0" w:rsidRDefault="00435AF0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5AF0" w:rsidRDefault="00435AF0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5AF0" w:rsidRDefault="00435AF0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5AF0" w:rsidRDefault="00435AF0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5AF0" w:rsidRDefault="00435AF0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5AF0" w:rsidRDefault="00435AF0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5AF0" w:rsidRDefault="00435AF0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5AF0" w:rsidRDefault="00435AF0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5AF0" w:rsidRDefault="00435AF0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5AF0" w:rsidRDefault="00435AF0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796C" w:rsidRDefault="00FD796C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la tercer semana del mes de septiembre del 2022 se implement</w:t>
      </w:r>
      <w:r w:rsidR="002B2C30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una encuesta digital, la cual tiene como objetivo medir la valoración </w:t>
      </w:r>
      <w:r w:rsidR="006609BC">
        <w:rPr>
          <w:rFonts w:ascii="Arial" w:hAnsi="Arial" w:cs="Arial"/>
          <w:sz w:val="24"/>
          <w:szCs w:val="24"/>
        </w:rPr>
        <w:t xml:space="preserve">del servicio postal </w:t>
      </w:r>
      <w:r>
        <w:rPr>
          <w:rFonts w:ascii="Arial" w:hAnsi="Arial" w:cs="Arial"/>
          <w:sz w:val="24"/>
          <w:szCs w:val="24"/>
        </w:rPr>
        <w:t xml:space="preserve">que tiene el usuario, </w:t>
      </w:r>
      <w:r w:rsidR="00BB0345">
        <w:rPr>
          <w:rFonts w:ascii="Arial" w:hAnsi="Arial" w:cs="Arial"/>
          <w:sz w:val="24"/>
          <w:szCs w:val="24"/>
        </w:rPr>
        <w:t>así mismo dich</w:t>
      </w:r>
      <w:r w:rsidR="00175240">
        <w:rPr>
          <w:rFonts w:ascii="Arial" w:hAnsi="Arial" w:cs="Arial"/>
          <w:sz w:val="24"/>
          <w:szCs w:val="24"/>
        </w:rPr>
        <w:t>o</w:t>
      </w:r>
      <w:r w:rsidR="00BB0345">
        <w:rPr>
          <w:rFonts w:ascii="Arial" w:hAnsi="Arial" w:cs="Arial"/>
          <w:sz w:val="24"/>
          <w:szCs w:val="24"/>
        </w:rPr>
        <w:t xml:space="preserve"> </w:t>
      </w:r>
      <w:r w:rsidR="002B2C30">
        <w:rPr>
          <w:rFonts w:ascii="Arial" w:hAnsi="Arial" w:cs="Arial"/>
          <w:sz w:val="24"/>
          <w:szCs w:val="24"/>
        </w:rPr>
        <w:t>instrumento</w:t>
      </w:r>
      <w:r w:rsidR="00BB03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recopila información de la pertenencia sociolingüística de </w:t>
      </w:r>
      <w:r w:rsidR="00175240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usuarios</w:t>
      </w:r>
      <w:r w:rsidR="00175240">
        <w:rPr>
          <w:rFonts w:ascii="Arial" w:hAnsi="Arial" w:cs="Arial"/>
          <w:sz w:val="24"/>
          <w:szCs w:val="24"/>
        </w:rPr>
        <w:t xml:space="preserve"> del servicio postal</w:t>
      </w:r>
      <w:r w:rsidR="00BB0345">
        <w:rPr>
          <w:rFonts w:ascii="Arial" w:hAnsi="Arial" w:cs="Arial"/>
          <w:sz w:val="24"/>
          <w:szCs w:val="24"/>
        </w:rPr>
        <w:t>, a continuación se presenta el segmento de la boleta donde se registra información de la pertenencia sociolingüística</w:t>
      </w:r>
      <w:r>
        <w:rPr>
          <w:rFonts w:ascii="Arial" w:hAnsi="Arial" w:cs="Arial"/>
          <w:sz w:val="24"/>
          <w:szCs w:val="24"/>
        </w:rPr>
        <w:t>.</w:t>
      </w:r>
    </w:p>
    <w:p w:rsidR="00DA19CE" w:rsidRDefault="00DA19CE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7E4F" w:rsidRPr="00DA068F" w:rsidRDefault="00B07E4F" w:rsidP="00DA068F">
      <w:pPr>
        <w:pStyle w:val="Ttulo2"/>
        <w:ind w:left="709"/>
        <w:rPr>
          <w:color w:val="auto"/>
        </w:rPr>
      </w:pPr>
      <w:bookmarkStart w:id="5" w:name="_Toc121146057"/>
      <w:r w:rsidRPr="00DA068F">
        <w:rPr>
          <w:color w:val="auto"/>
        </w:rPr>
        <w:t>Imagen 1: Formato de la boleta digital</w:t>
      </w:r>
      <w:bookmarkEnd w:id="5"/>
      <w:r w:rsidRPr="00DA068F">
        <w:rPr>
          <w:color w:val="auto"/>
        </w:rPr>
        <w:t xml:space="preserve"> </w:t>
      </w:r>
    </w:p>
    <w:p w:rsidR="00DA19CE" w:rsidRDefault="00B07E4F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39038885" wp14:editId="57992A3C">
            <wp:extent cx="5810250" cy="2152650"/>
            <wp:effectExtent l="19050" t="19050" r="19050" b="190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" r="1250" b="6991"/>
                    <a:stretch/>
                  </pic:blipFill>
                  <pic:spPr bwMode="auto">
                    <a:xfrm>
                      <a:off x="0" y="0"/>
                      <a:ext cx="5835180" cy="216188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75000"/>
                          <a:alpha val="98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9CE" w:rsidRDefault="00BB0345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711FBACC" wp14:editId="694E0A02">
            <wp:simplePos x="0" y="0"/>
            <wp:positionH relativeFrom="page">
              <wp:posOffset>2981325</wp:posOffset>
            </wp:positionH>
            <wp:positionV relativeFrom="paragraph">
              <wp:posOffset>168910</wp:posOffset>
            </wp:positionV>
            <wp:extent cx="2724150" cy="2019300"/>
            <wp:effectExtent l="19050" t="19050" r="19050" b="190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19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  <a:alpha val="78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9CE" w:rsidRDefault="00DA19CE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19CE" w:rsidRDefault="00DA19CE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19CE" w:rsidRDefault="00DA19CE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19CE" w:rsidRDefault="00DA19CE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796C" w:rsidRDefault="00FD796C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7E4F" w:rsidRDefault="00B07E4F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7E4F" w:rsidRDefault="00B07E4F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7E4F" w:rsidRDefault="00B07E4F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7E4F" w:rsidRDefault="00B07E4F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959" w:rsidRDefault="008A3959" w:rsidP="008A3959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5720583" cy="5124450"/>
            <wp:effectExtent l="19050" t="19050" r="13970" b="190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85" cy="51558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  <a:alpha val="86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07E4F" w:rsidRDefault="00B07E4F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959" w:rsidRDefault="008A3959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959" w:rsidRDefault="008A3959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959" w:rsidRDefault="008A3959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959" w:rsidRDefault="008A3959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959" w:rsidRDefault="008A3959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Default="00DD7DE7" w:rsidP="0016397E">
      <w:pPr>
        <w:pStyle w:val="Ttulo2"/>
        <w:numPr>
          <w:ilvl w:val="0"/>
          <w:numId w:val="3"/>
        </w:numPr>
        <w:rPr>
          <w:rFonts w:ascii="Arial" w:hAnsi="Arial" w:cs="Arial"/>
          <w:color w:val="auto"/>
        </w:rPr>
      </w:pPr>
      <w:bookmarkStart w:id="6" w:name="_Toc121146058"/>
      <w:r w:rsidRPr="00330C1F">
        <w:rPr>
          <w:rFonts w:ascii="Arial" w:hAnsi="Arial" w:cs="Arial"/>
          <w:color w:val="auto"/>
        </w:rPr>
        <w:lastRenderedPageBreak/>
        <w:t>Análisis de datos</w:t>
      </w:r>
      <w:bookmarkEnd w:id="6"/>
      <w:r w:rsidRPr="00330C1F">
        <w:rPr>
          <w:rFonts w:ascii="Arial" w:hAnsi="Arial" w:cs="Arial"/>
          <w:color w:val="auto"/>
        </w:rPr>
        <w:t xml:space="preserve"> </w:t>
      </w:r>
    </w:p>
    <w:p w:rsidR="00FD796C" w:rsidRPr="00FD796C" w:rsidRDefault="00FD796C" w:rsidP="00FD796C"/>
    <w:p w:rsidR="00737148" w:rsidRDefault="0016397E" w:rsidP="00291E42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330C1F">
        <w:rPr>
          <w:rFonts w:ascii="Arial" w:hAnsi="Arial" w:cs="Arial"/>
          <w:sz w:val="24"/>
          <w:szCs w:val="24"/>
        </w:rPr>
        <w:t>c</w:t>
      </w:r>
      <w:r w:rsidRPr="003964E4">
        <w:rPr>
          <w:rFonts w:ascii="Arial" w:hAnsi="Arial" w:cs="Arial"/>
          <w:sz w:val="24"/>
          <w:szCs w:val="24"/>
        </w:rPr>
        <w:t>ontinuación</w:t>
      </w:r>
      <w:r w:rsidR="00DD7DE7" w:rsidRPr="003964E4">
        <w:rPr>
          <w:rFonts w:ascii="Arial" w:hAnsi="Arial" w:cs="Arial"/>
          <w:sz w:val="24"/>
          <w:szCs w:val="24"/>
        </w:rPr>
        <w:t xml:space="preserve"> presentamos los beneficiarios del servicio post</w:t>
      </w:r>
      <w:r w:rsidR="008E1F4A">
        <w:rPr>
          <w:rFonts w:ascii="Arial" w:hAnsi="Arial" w:cs="Arial"/>
          <w:sz w:val="24"/>
          <w:szCs w:val="24"/>
        </w:rPr>
        <w:t xml:space="preserve">al </w:t>
      </w:r>
      <w:r w:rsidR="00AA34A4">
        <w:rPr>
          <w:rFonts w:ascii="Arial" w:hAnsi="Arial" w:cs="Arial"/>
          <w:sz w:val="24"/>
          <w:szCs w:val="24"/>
        </w:rPr>
        <w:t xml:space="preserve">correspondiente al mes de </w:t>
      </w:r>
      <w:r w:rsidR="00690A65">
        <w:rPr>
          <w:rFonts w:ascii="Arial" w:hAnsi="Arial" w:cs="Arial"/>
          <w:sz w:val="24"/>
          <w:szCs w:val="24"/>
        </w:rPr>
        <w:t>noviembre</w:t>
      </w:r>
      <w:r w:rsidR="00DD7DE7" w:rsidRPr="003964E4">
        <w:rPr>
          <w:rFonts w:ascii="Arial" w:hAnsi="Arial" w:cs="Arial"/>
          <w:sz w:val="24"/>
          <w:szCs w:val="24"/>
        </w:rPr>
        <w:t xml:space="preserve"> del 2,02</w:t>
      </w:r>
      <w:r w:rsidR="00937D0F">
        <w:rPr>
          <w:rFonts w:ascii="Arial" w:hAnsi="Arial" w:cs="Arial"/>
          <w:sz w:val="24"/>
          <w:szCs w:val="24"/>
        </w:rPr>
        <w:t>2</w:t>
      </w:r>
      <w:r w:rsidR="00DD7DE7" w:rsidRPr="003964E4">
        <w:rPr>
          <w:rFonts w:ascii="Arial" w:hAnsi="Arial" w:cs="Arial"/>
          <w:sz w:val="24"/>
          <w:szCs w:val="24"/>
        </w:rPr>
        <w:t xml:space="preserve">. </w:t>
      </w:r>
    </w:p>
    <w:p w:rsidR="00DD7DE7" w:rsidRPr="00D00F54" w:rsidRDefault="00DD7DE7" w:rsidP="00291E42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964E4">
        <w:rPr>
          <w:rFonts w:ascii="Arial" w:hAnsi="Arial" w:cs="Arial"/>
          <w:sz w:val="24"/>
          <w:szCs w:val="24"/>
        </w:rPr>
        <w:t xml:space="preserve">En total se entregaron </w:t>
      </w:r>
      <w:r w:rsidR="006B59B0">
        <w:rPr>
          <w:rFonts w:ascii="Arial" w:hAnsi="Arial" w:cs="Arial"/>
          <w:sz w:val="24"/>
          <w:szCs w:val="24"/>
        </w:rPr>
        <w:t>2</w:t>
      </w:r>
      <w:r w:rsidR="00B84529">
        <w:rPr>
          <w:rFonts w:ascii="Arial" w:hAnsi="Arial" w:cs="Arial"/>
          <w:sz w:val="24"/>
          <w:szCs w:val="24"/>
        </w:rPr>
        <w:t>8</w:t>
      </w:r>
      <w:r w:rsidR="002B3FA4">
        <w:rPr>
          <w:rFonts w:ascii="Arial" w:hAnsi="Arial" w:cs="Arial"/>
          <w:sz w:val="24"/>
          <w:szCs w:val="24"/>
        </w:rPr>
        <w:t>,</w:t>
      </w:r>
      <w:r w:rsidR="00B84529">
        <w:rPr>
          <w:rFonts w:ascii="Arial" w:hAnsi="Arial" w:cs="Arial"/>
          <w:sz w:val="24"/>
          <w:szCs w:val="24"/>
        </w:rPr>
        <w:t>792</w:t>
      </w:r>
      <w:r w:rsidRPr="003964E4">
        <w:rPr>
          <w:rFonts w:ascii="Arial" w:hAnsi="Arial" w:cs="Arial"/>
          <w:sz w:val="24"/>
          <w:szCs w:val="24"/>
        </w:rPr>
        <w:t xml:space="preserve"> piezas postales en toda la república de las cuales el </w:t>
      </w:r>
      <w:r w:rsidR="00B84529">
        <w:rPr>
          <w:rFonts w:ascii="Arial" w:hAnsi="Arial" w:cs="Arial"/>
          <w:sz w:val="24"/>
          <w:szCs w:val="24"/>
        </w:rPr>
        <w:t>67</w:t>
      </w:r>
      <w:r w:rsidRPr="003964E4">
        <w:rPr>
          <w:rFonts w:ascii="Arial" w:hAnsi="Arial" w:cs="Arial"/>
          <w:sz w:val="24"/>
          <w:szCs w:val="24"/>
        </w:rPr>
        <w:t xml:space="preserve">% se entregó en la región metropolitana y el </w:t>
      </w:r>
      <w:r w:rsidR="00B84529">
        <w:rPr>
          <w:rFonts w:ascii="Arial" w:hAnsi="Arial" w:cs="Arial"/>
          <w:sz w:val="24"/>
          <w:szCs w:val="24"/>
        </w:rPr>
        <w:t>33</w:t>
      </w:r>
      <w:r w:rsidR="007565A4">
        <w:rPr>
          <w:rFonts w:ascii="Arial" w:hAnsi="Arial" w:cs="Arial"/>
          <w:sz w:val="24"/>
          <w:szCs w:val="24"/>
        </w:rPr>
        <w:t>%</w:t>
      </w:r>
      <w:r w:rsidR="00717DE0">
        <w:rPr>
          <w:rFonts w:ascii="Arial" w:hAnsi="Arial" w:cs="Arial"/>
          <w:sz w:val="24"/>
          <w:szCs w:val="24"/>
        </w:rPr>
        <w:t xml:space="preserve"> en el interior del país. El</w:t>
      </w:r>
      <w:r w:rsidRPr="003964E4">
        <w:rPr>
          <w:rFonts w:ascii="Arial" w:hAnsi="Arial" w:cs="Arial"/>
          <w:sz w:val="24"/>
          <w:szCs w:val="24"/>
        </w:rPr>
        <w:t xml:space="preserve"> </w:t>
      </w:r>
      <w:r w:rsidR="008B5E16">
        <w:rPr>
          <w:rFonts w:ascii="Arial" w:hAnsi="Arial" w:cs="Arial"/>
          <w:sz w:val="24"/>
          <w:szCs w:val="24"/>
        </w:rPr>
        <w:t>5</w:t>
      </w:r>
      <w:r w:rsidR="002B2C30">
        <w:rPr>
          <w:rFonts w:ascii="Arial" w:hAnsi="Arial" w:cs="Arial"/>
          <w:sz w:val="24"/>
          <w:szCs w:val="24"/>
        </w:rPr>
        <w:t>8.</w:t>
      </w:r>
      <w:r w:rsidR="00B84529">
        <w:rPr>
          <w:rFonts w:ascii="Arial" w:hAnsi="Arial" w:cs="Arial"/>
          <w:sz w:val="24"/>
          <w:szCs w:val="24"/>
        </w:rPr>
        <w:t>3</w:t>
      </w:r>
      <w:r w:rsidRPr="003964E4">
        <w:rPr>
          <w:rFonts w:ascii="Arial" w:hAnsi="Arial" w:cs="Arial"/>
          <w:sz w:val="24"/>
          <w:szCs w:val="24"/>
        </w:rPr>
        <w:t>% de los ben</w:t>
      </w:r>
      <w:r w:rsidR="00D00F54">
        <w:rPr>
          <w:rFonts w:ascii="Arial" w:hAnsi="Arial" w:cs="Arial"/>
          <w:sz w:val="24"/>
          <w:szCs w:val="24"/>
        </w:rPr>
        <w:t>e</w:t>
      </w:r>
      <w:r w:rsidR="008E1F4A">
        <w:rPr>
          <w:rFonts w:ascii="Arial" w:hAnsi="Arial" w:cs="Arial"/>
          <w:sz w:val="24"/>
          <w:szCs w:val="24"/>
        </w:rPr>
        <w:t xml:space="preserve">ficiarios fueron hombres y el </w:t>
      </w:r>
      <w:r w:rsidR="008B5E16">
        <w:rPr>
          <w:rFonts w:ascii="Arial" w:hAnsi="Arial" w:cs="Arial"/>
          <w:sz w:val="24"/>
          <w:szCs w:val="24"/>
        </w:rPr>
        <w:t>4</w:t>
      </w:r>
      <w:r w:rsidR="002B2C30">
        <w:rPr>
          <w:rFonts w:ascii="Arial" w:hAnsi="Arial" w:cs="Arial"/>
          <w:sz w:val="24"/>
          <w:szCs w:val="24"/>
        </w:rPr>
        <w:t>1.</w:t>
      </w:r>
      <w:r w:rsidR="00B84529">
        <w:rPr>
          <w:rFonts w:ascii="Arial" w:hAnsi="Arial" w:cs="Arial"/>
          <w:sz w:val="24"/>
          <w:szCs w:val="24"/>
        </w:rPr>
        <w:t>7</w:t>
      </w:r>
      <w:r w:rsidRPr="00D00F54">
        <w:rPr>
          <w:rFonts w:ascii="Arial" w:hAnsi="Arial" w:cs="Arial"/>
          <w:sz w:val="24"/>
          <w:szCs w:val="24"/>
        </w:rPr>
        <w:t>% mujeres.</w:t>
      </w:r>
    </w:p>
    <w:p w:rsidR="00DD7DE7" w:rsidRPr="003964E4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Default="0016397E" w:rsidP="00BC378D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B440AE">
        <w:rPr>
          <w:rFonts w:ascii="Arial" w:hAnsi="Arial" w:cs="Arial"/>
          <w:sz w:val="24"/>
          <w:szCs w:val="24"/>
        </w:rPr>
        <w:t>1</w:t>
      </w:r>
      <w:r w:rsidR="00B84529">
        <w:rPr>
          <w:rFonts w:ascii="Arial" w:hAnsi="Arial" w:cs="Arial"/>
          <w:sz w:val="24"/>
          <w:szCs w:val="24"/>
        </w:rPr>
        <w:t>4.29</w:t>
      </w:r>
      <w:r w:rsidR="00F84762">
        <w:rPr>
          <w:rFonts w:ascii="Arial" w:hAnsi="Arial" w:cs="Arial"/>
          <w:sz w:val="24"/>
          <w:szCs w:val="24"/>
        </w:rPr>
        <w:t>%</w:t>
      </w:r>
      <w:r w:rsidR="00DD7DE7" w:rsidRPr="003964E4">
        <w:rPr>
          <w:rFonts w:ascii="Arial" w:hAnsi="Arial" w:cs="Arial"/>
          <w:sz w:val="24"/>
          <w:szCs w:val="24"/>
        </w:rPr>
        <w:t xml:space="preserve"> de los beneficiarios pertenecen al pueblo Maya, el </w:t>
      </w:r>
      <w:r w:rsidR="00401DD2">
        <w:rPr>
          <w:rFonts w:ascii="Arial" w:hAnsi="Arial" w:cs="Arial"/>
          <w:sz w:val="24"/>
          <w:szCs w:val="24"/>
        </w:rPr>
        <w:t>0.</w:t>
      </w:r>
      <w:r w:rsidR="00F84762">
        <w:rPr>
          <w:rFonts w:ascii="Arial" w:hAnsi="Arial" w:cs="Arial"/>
          <w:sz w:val="24"/>
          <w:szCs w:val="24"/>
        </w:rPr>
        <w:t>1</w:t>
      </w:r>
      <w:r w:rsidR="00B84529">
        <w:rPr>
          <w:rFonts w:ascii="Arial" w:hAnsi="Arial" w:cs="Arial"/>
          <w:sz w:val="24"/>
          <w:szCs w:val="24"/>
        </w:rPr>
        <w:t>7</w:t>
      </w:r>
      <w:r w:rsidR="00DD7DE7" w:rsidRPr="003964E4">
        <w:rPr>
          <w:rFonts w:ascii="Arial" w:hAnsi="Arial" w:cs="Arial"/>
          <w:sz w:val="24"/>
          <w:szCs w:val="24"/>
        </w:rPr>
        <w:t xml:space="preserve">% al pueblo </w:t>
      </w:r>
      <w:r w:rsidR="00401DD2" w:rsidRPr="003964E4">
        <w:rPr>
          <w:rFonts w:ascii="Arial" w:hAnsi="Arial" w:cs="Arial"/>
          <w:sz w:val="24"/>
          <w:szCs w:val="24"/>
        </w:rPr>
        <w:t>Garífuna</w:t>
      </w:r>
      <w:r w:rsidR="0007137E">
        <w:rPr>
          <w:rFonts w:ascii="Arial" w:hAnsi="Arial" w:cs="Arial"/>
          <w:sz w:val="24"/>
          <w:szCs w:val="24"/>
        </w:rPr>
        <w:t>,</w:t>
      </w:r>
      <w:r w:rsidR="00401DD2" w:rsidRPr="003964E4">
        <w:rPr>
          <w:rFonts w:ascii="Arial" w:hAnsi="Arial" w:cs="Arial"/>
          <w:sz w:val="24"/>
          <w:szCs w:val="24"/>
        </w:rPr>
        <w:t xml:space="preserve"> </w:t>
      </w:r>
      <w:r w:rsidR="00DD7DE7" w:rsidRPr="003964E4">
        <w:rPr>
          <w:rFonts w:ascii="Arial" w:hAnsi="Arial" w:cs="Arial"/>
          <w:sz w:val="24"/>
          <w:szCs w:val="24"/>
        </w:rPr>
        <w:t xml:space="preserve"> el </w:t>
      </w:r>
      <w:r w:rsidR="00B84529">
        <w:rPr>
          <w:rFonts w:ascii="Arial" w:hAnsi="Arial" w:cs="Arial"/>
          <w:sz w:val="24"/>
          <w:szCs w:val="24"/>
        </w:rPr>
        <w:t>1.04</w:t>
      </w:r>
      <w:r w:rsidR="00DD7DE7" w:rsidRPr="003964E4">
        <w:rPr>
          <w:rFonts w:ascii="Arial" w:hAnsi="Arial" w:cs="Arial"/>
          <w:sz w:val="24"/>
          <w:szCs w:val="24"/>
        </w:rPr>
        <w:t>% al pueblo</w:t>
      </w:r>
      <w:r w:rsidR="00401DD2" w:rsidRPr="00401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DD2" w:rsidRPr="003964E4">
        <w:rPr>
          <w:rFonts w:ascii="Arial" w:hAnsi="Arial" w:cs="Arial"/>
          <w:sz w:val="24"/>
          <w:szCs w:val="24"/>
        </w:rPr>
        <w:t>Xinka</w:t>
      </w:r>
      <w:proofErr w:type="spellEnd"/>
      <w:r w:rsidR="00DD7DE7" w:rsidRPr="003964E4">
        <w:rPr>
          <w:rFonts w:ascii="Arial" w:hAnsi="Arial" w:cs="Arial"/>
          <w:sz w:val="24"/>
          <w:szCs w:val="24"/>
        </w:rPr>
        <w:t xml:space="preserve">, </w:t>
      </w:r>
      <w:r w:rsidR="00401DD2">
        <w:rPr>
          <w:rFonts w:ascii="Arial" w:hAnsi="Arial" w:cs="Arial"/>
          <w:sz w:val="24"/>
          <w:szCs w:val="24"/>
        </w:rPr>
        <w:t xml:space="preserve">y el </w:t>
      </w:r>
      <w:r w:rsidR="00510220">
        <w:rPr>
          <w:rFonts w:ascii="Arial" w:hAnsi="Arial" w:cs="Arial"/>
          <w:sz w:val="24"/>
          <w:szCs w:val="24"/>
        </w:rPr>
        <w:t>8</w:t>
      </w:r>
      <w:r w:rsidR="00B84529">
        <w:rPr>
          <w:rFonts w:ascii="Arial" w:hAnsi="Arial" w:cs="Arial"/>
          <w:sz w:val="24"/>
          <w:szCs w:val="24"/>
        </w:rPr>
        <w:t>4.5</w:t>
      </w:r>
      <w:r w:rsidR="00DD7DE7" w:rsidRPr="003964E4">
        <w:rPr>
          <w:rFonts w:ascii="Arial" w:hAnsi="Arial" w:cs="Arial"/>
          <w:sz w:val="24"/>
          <w:szCs w:val="24"/>
        </w:rPr>
        <w:t>% a la población ladina</w:t>
      </w:r>
      <w:r w:rsidR="002B2C30">
        <w:rPr>
          <w:rFonts w:ascii="Arial" w:hAnsi="Arial" w:cs="Arial"/>
          <w:sz w:val="24"/>
          <w:szCs w:val="24"/>
        </w:rPr>
        <w:t>;</w:t>
      </w:r>
      <w:r w:rsidR="00DD7DE7" w:rsidRPr="003964E4">
        <w:rPr>
          <w:rFonts w:ascii="Arial" w:hAnsi="Arial" w:cs="Arial"/>
          <w:sz w:val="24"/>
          <w:szCs w:val="24"/>
        </w:rPr>
        <w:t xml:space="preserve"> la mayoría de </w:t>
      </w:r>
      <w:r w:rsidR="002A1DB4">
        <w:rPr>
          <w:rFonts w:ascii="Arial" w:hAnsi="Arial" w:cs="Arial"/>
          <w:sz w:val="24"/>
          <w:szCs w:val="24"/>
        </w:rPr>
        <w:t xml:space="preserve">la </w:t>
      </w:r>
      <w:r w:rsidR="00DD7DE7" w:rsidRPr="003964E4">
        <w:rPr>
          <w:rFonts w:ascii="Arial" w:hAnsi="Arial" w:cs="Arial"/>
          <w:sz w:val="24"/>
          <w:szCs w:val="24"/>
        </w:rPr>
        <w:t>población maya beneficiada por el servicio postal se atendió en</w:t>
      </w:r>
      <w:r w:rsidR="0054194A">
        <w:rPr>
          <w:rFonts w:ascii="Arial" w:hAnsi="Arial" w:cs="Arial"/>
          <w:sz w:val="24"/>
          <w:szCs w:val="24"/>
        </w:rPr>
        <w:t xml:space="preserve"> la</w:t>
      </w:r>
      <w:r w:rsidR="00DD7DE7" w:rsidRPr="003964E4">
        <w:rPr>
          <w:rFonts w:ascii="Arial" w:hAnsi="Arial" w:cs="Arial"/>
          <w:sz w:val="24"/>
          <w:szCs w:val="24"/>
        </w:rPr>
        <w:t xml:space="preserve"> </w:t>
      </w:r>
      <w:r w:rsidR="00401DD2">
        <w:rPr>
          <w:rFonts w:ascii="Arial" w:hAnsi="Arial" w:cs="Arial"/>
          <w:sz w:val="24"/>
          <w:szCs w:val="24"/>
        </w:rPr>
        <w:t>Agencia Central</w:t>
      </w:r>
      <w:r w:rsidR="00DD7DE7" w:rsidRPr="003964E4">
        <w:rPr>
          <w:rFonts w:ascii="Arial" w:hAnsi="Arial" w:cs="Arial"/>
          <w:sz w:val="24"/>
          <w:szCs w:val="24"/>
        </w:rPr>
        <w:t>,</w:t>
      </w:r>
      <w:r w:rsidR="00DC1F65">
        <w:rPr>
          <w:rFonts w:ascii="Arial" w:hAnsi="Arial" w:cs="Arial"/>
          <w:sz w:val="24"/>
          <w:szCs w:val="24"/>
        </w:rPr>
        <w:t xml:space="preserve"> </w:t>
      </w:r>
      <w:r w:rsidR="001670EE">
        <w:rPr>
          <w:rFonts w:ascii="Arial" w:hAnsi="Arial" w:cs="Arial"/>
          <w:sz w:val="24"/>
          <w:szCs w:val="24"/>
        </w:rPr>
        <w:t xml:space="preserve">Quetzaltenango, </w:t>
      </w:r>
      <w:r w:rsidR="008B5E16">
        <w:rPr>
          <w:rFonts w:ascii="Arial" w:hAnsi="Arial" w:cs="Arial"/>
          <w:sz w:val="24"/>
          <w:szCs w:val="24"/>
        </w:rPr>
        <w:t xml:space="preserve">Cobán, </w:t>
      </w:r>
      <w:r w:rsidR="00F75CA4">
        <w:rPr>
          <w:rFonts w:ascii="Arial" w:hAnsi="Arial" w:cs="Arial"/>
          <w:sz w:val="24"/>
          <w:szCs w:val="24"/>
        </w:rPr>
        <w:t>Quiché</w:t>
      </w:r>
      <w:r w:rsidR="00B84529">
        <w:rPr>
          <w:rFonts w:ascii="Arial" w:hAnsi="Arial" w:cs="Arial"/>
          <w:sz w:val="24"/>
          <w:szCs w:val="24"/>
        </w:rPr>
        <w:t xml:space="preserve"> y San Pedro la Laguna</w:t>
      </w:r>
      <w:r w:rsidR="008B5E16">
        <w:rPr>
          <w:rFonts w:ascii="Arial" w:hAnsi="Arial" w:cs="Arial"/>
          <w:sz w:val="24"/>
          <w:szCs w:val="24"/>
        </w:rPr>
        <w:t>; el detalle de los beneficiados por el servicio postal se presenta en el cuadro 2.</w:t>
      </w:r>
    </w:p>
    <w:p w:rsidR="00B84529" w:rsidRDefault="00B84529" w:rsidP="00BC378D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FE3355" w:rsidRDefault="00FE3355" w:rsidP="00FE3355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  <w:bookmarkStart w:id="7" w:name="_Toc121146059"/>
      <w:r w:rsidRPr="00267B92">
        <w:rPr>
          <w:rFonts w:ascii="Arial" w:hAnsi="Arial" w:cs="Arial"/>
          <w:color w:val="auto"/>
          <w:sz w:val="24"/>
          <w:szCs w:val="24"/>
        </w:rPr>
        <w:t xml:space="preserve">Gráfico 1: Beneficiarios del servicio postal según pertenencia, </w:t>
      </w:r>
      <w:r w:rsidR="00690A65">
        <w:rPr>
          <w:rFonts w:ascii="Arial" w:hAnsi="Arial" w:cs="Arial"/>
          <w:color w:val="auto"/>
          <w:sz w:val="24"/>
          <w:szCs w:val="24"/>
        </w:rPr>
        <w:t>Noviembre</w:t>
      </w:r>
      <w:r w:rsidRPr="00267B92">
        <w:rPr>
          <w:rFonts w:ascii="Arial" w:hAnsi="Arial" w:cs="Arial"/>
          <w:color w:val="auto"/>
          <w:sz w:val="24"/>
          <w:szCs w:val="24"/>
        </w:rPr>
        <w:t xml:space="preserve"> 2022</w:t>
      </w:r>
      <w:bookmarkEnd w:id="7"/>
    </w:p>
    <w:p w:rsidR="00FE3355" w:rsidRDefault="00FE3355" w:rsidP="00FE3355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FE3355" w:rsidRDefault="00B84529" w:rsidP="00FE3355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6BBF9B1F" wp14:editId="62A5A2F7">
            <wp:extent cx="5448300" cy="2638425"/>
            <wp:effectExtent l="0" t="0" r="0" b="952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F5815" w:rsidRDefault="00552E24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  <w:r w:rsidRPr="00552E24">
        <w:rPr>
          <w:rFonts w:ascii="Arial" w:hAnsi="Arial" w:cs="Arial"/>
          <w:b/>
          <w:sz w:val="24"/>
          <w:szCs w:val="20"/>
        </w:rPr>
        <w:lastRenderedPageBreak/>
        <w:t>Cuadro 2: Beneficiarios del servicio postal, según pertenencia étnica</w:t>
      </w:r>
    </w:p>
    <w:tbl>
      <w:tblPr>
        <w:tblStyle w:val="GridTable4Accent1"/>
        <w:tblW w:w="10160" w:type="dxa"/>
        <w:jc w:val="center"/>
        <w:tblLook w:val="04A0" w:firstRow="1" w:lastRow="0" w:firstColumn="1" w:lastColumn="0" w:noHBand="0" w:noVBand="1"/>
      </w:tblPr>
      <w:tblGrid>
        <w:gridCol w:w="1300"/>
        <w:gridCol w:w="3040"/>
        <w:gridCol w:w="1020"/>
        <w:gridCol w:w="1460"/>
        <w:gridCol w:w="1060"/>
        <w:gridCol w:w="1060"/>
        <w:gridCol w:w="1220"/>
      </w:tblGrid>
      <w:tr w:rsidR="00D03BDC" w:rsidRPr="0007137E" w:rsidTr="00D03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 w:val="restart"/>
            <w:vAlign w:val="center"/>
            <w:hideMark/>
          </w:tcPr>
          <w:p w:rsidR="00D03BDC" w:rsidRPr="0007137E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bCs w:val="0"/>
                <w:color w:val="000000"/>
              </w:rPr>
              <w:t>CODIGO CENTRO DE COSTO</w:t>
            </w:r>
          </w:p>
        </w:tc>
        <w:tc>
          <w:tcPr>
            <w:tcW w:w="3040" w:type="dxa"/>
            <w:vMerge w:val="restart"/>
            <w:noWrap/>
            <w:vAlign w:val="center"/>
            <w:hideMark/>
          </w:tcPr>
          <w:p w:rsidR="00D03BDC" w:rsidRPr="0007137E" w:rsidRDefault="00D03BDC" w:rsidP="00D0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</w:rPr>
            </w:pPr>
            <w:r w:rsidRPr="0007137E">
              <w:rPr>
                <w:rFonts w:ascii="Arial" w:hAnsi="Arial" w:cs="Arial"/>
                <w:bCs w:val="0"/>
                <w:color w:val="000000"/>
              </w:rPr>
              <w:t>AGENCIA</w:t>
            </w:r>
          </w:p>
        </w:tc>
        <w:tc>
          <w:tcPr>
            <w:tcW w:w="5820" w:type="dxa"/>
            <w:gridSpan w:val="5"/>
            <w:noWrap/>
            <w:vAlign w:val="center"/>
            <w:hideMark/>
          </w:tcPr>
          <w:p w:rsidR="00D03BDC" w:rsidRPr="0007137E" w:rsidRDefault="00D31DF4" w:rsidP="001752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</w:rPr>
            </w:pPr>
            <w:r w:rsidRPr="0007137E">
              <w:rPr>
                <w:rFonts w:ascii="Arial" w:hAnsi="Arial" w:cs="Arial"/>
                <w:bCs w:val="0"/>
                <w:color w:val="000000"/>
              </w:rPr>
              <w:t xml:space="preserve">Población beneficiada en el mes de </w:t>
            </w:r>
            <w:r w:rsidR="00690A65">
              <w:rPr>
                <w:rFonts w:ascii="Arial" w:hAnsi="Arial" w:cs="Arial"/>
                <w:bCs w:val="0"/>
                <w:color w:val="000000"/>
              </w:rPr>
              <w:t>noviembre</w:t>
            </w:r>
          </w:p>
        </w:tc>
      </w:tr>
      <w:tr w:rsidR="00D03BDC" w:rsidRPr="0007137E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hideMark/>
          </w:tcPr>
          <w:p w:rsidR="00D03BDC" w:rsidRPr="0007137E" w:rsidRDefault="00D03B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vMerge/>
            <w:hideMark/>
          </w:tcPr>
          <w:p w:rsidR="00D03BDC" w:rsidRPr="0007137E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MAYA</w:t>
            </w:r>
          </w:p>
        </w:tc>
        <w:tc>
          <w:tcPr>
            <w:tcW w:w="146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GARIFUNA</w:t>
            </w:r>
          </w:p>
        </w:tc>
        <w:tc>
          <w:tcPr>
            <w:tcW w:w="106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XINKA</w:t>
            </w:r>
          </w:p>
        </w:tc>
        <w:tc>
          <w:tcPr>
            <w:tcW w:w="106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OTROS</w:t>
            </w:r>
          </w:p>
        </w:tc>
        <w:tc>
          <w:tcPr>
            <w:tcW w:w="122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A01B64" w:rsidRPr="0007137E" w:rsidTr="00737148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</w:tcPr>
          <w:p w:rsidR="00A01B64" w:rsidRDefault="00A01B64" w:rsidP="00A01B6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2968</w:t>
            </w:r>
          </w:p>
        </w:tc>
        <w:tc>
          <w:tcPr>
            <w:tcW w:w="3040" w:type="dxa"/>
            <w:vAlign w:val="center"/>
          </w:tcPr>
          <w:p w:rsidR="00A01B64" w:rsidRDefault="00A01B64" w:rsidP="00A0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Agencia Central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1,233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16,059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17,343</w:t>
            </w:r>
          </w:p>
        </w:tc>
      </w:tr>
      <w:tr w:rsidR="00A01B64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16245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Todos Santos </w:t>
            </w:r>
            <w:proofErr w:type="spellStart"/>
            <w:r>
              <w:rPr>
                <w:rFonts w:ascii="Arial" w:hAnsi="Arial" w:cs="Arial"/>
              </w:rPr>
              <w:t>Cuchumatán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</w:tr>
      <w:tr w:rsidR="00A01B64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16246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Pedro la Laguna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</w:t>
            </w:r>
          </w:p>
        </w:tc>
      </w:tr>
      <w:tr w:rsidR="00A01B64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16247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Salamá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</w:tr>
      <w:tr w:rsidR="00A01B64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16248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Jutiapa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392</w:t>
            </w:r>
          </w:p>
        </w:tc>
      </w:tr>
      <w:tr w:rsidR="00A01B64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16250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Chimaltenango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442</w:t>
            </w:r>
          </w:p>
        </w:tc>
      </w:tr>
      <w:tr w:rsidR="00A01B64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16251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Quetzaltenango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647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737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1,387</w:t>
            </w:r>
          </w:p>
        </w:tc>
      </w:tr>
      <w:tr w:rsidR="00A01B64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16253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Antigua Guatemala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1,045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1,178</w:t>
            </w:r>
          </w:p>
        </w:tc>
      </w:tr>
      <w:tr w:rsidR="00A01B64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16255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 Canales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1,051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1,086</w:t>
            </w:r>
          </w:p>
        </w:tc>
      </w:tr>
      <w:tr w:rsidR="00A01B64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16256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Huehuetenango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492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</w:t>
            </w:r>
          </w:p>
        </w:tc>
      </w:tr>
      <w:tr w:rsidR="00A01B64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16258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Marcos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418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434</w:t>
            </w:r>
          </w:p>
        </w:tc>
      </w:tr>
      <w:tr w:rsidR="00A01B64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16259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Tejutla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</w:p>
        </w:tc>
      </w:tr>
      <w:tr w:rsidR="00A01B64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16260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Retalhuleu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</w:t>
            </w:r>
          </w:p>
        </w:tc>
      </w:tr>
      <w:tr w:rsidR="00A01B64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16261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Totonicapán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</w:t>
            </w:r>
          </w:p>
        </w:tc>
      </w:tr>
      <w:tr w:rsidR="00A01B64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16262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Quiché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</w:t>
            </w:r>
          </w:p>
        </w:tc>
      </w:tr>
      <w:tr w:rsidR="00A01B64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16265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Uspantán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</w:tr>
      <w:tr w:rsidR="00A01B64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16268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Guastatoya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</w:t>
            </w:r>
          </w:p>
        </w:tc>
      </w:tr>
      <w:tr w:rsidR="00A01B64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16271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Santa Lucía </w:t>
            </w:r>
            <w:proofErr w:type="spellStart"/>
            <w:r>
              <w:rPr>
                <w:rFonts w:ascii="Arial" w:hAnsi="Arial" w:cs="Arial"/>
              </w:rPr>
              <w:t>Cotzumalguapa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</w:t>
            </w:r>
          </w:p>
        </w:tc>
      </w:tr>
      <w:tr w:rsidR="00A01B64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16272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Cuilapa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</w:t>
            </w:r>
          </w:p>
        </w:tc>
      </w:tr>
      <w:tr w:rsidR="00A01B64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16277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Barberena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</w:tr>
      <w:tr w:rsidR="00A01B64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16283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 Mateo </w:t>
            </w:r>
            <w:proofErr w:type="spellStart"/>
            <w:r>
              <w:rPr>
                <w:rFonts w:ascii="Arial" w:hAnsi="Arial" w:cs="Arial"/>
              </w:rPr>
              <w:t>Ixtatán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</w:t>
            </w:r>
          </w:p>
        </w:tc>
      </w:tr>
      <w:tr w:rsidR="00A01B64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16286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Cubulco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</w:tr>
      <w:tr w:rsidR="00A01B64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16287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Cobán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426</w:t>
            </w:r>
          </w:p>
        </w:tc>
      </w:tr>
      <w:tr w:rsidR="00A01B64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16288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Puerto Barrios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</w:t>
            </w:r>
          </w:p>
        </w:tc>
      </w:tr>
      <w:tr w:rsidR="00A01B64" w:rsidRPr="0007137E" w:rsidTr="00737148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16289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Morales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</w:tr>
      <w:tr w:rsidR="00A01B64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16293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Chiquimula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</w:t>
            </w:r>
          </w:p>
        </w:tc>
      </w:tr>
      <w:tr w:rsidR="00A01B64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16294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Jalapa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247</w:t>
            </w:r>
          </w:p>
        </w:tc>
      </w:tr>
      <w:tr w:rsidR="00A01B64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17434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Juan Sacatepéquez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294</w:t>
            </w:r>
          </w:p>
        </w:tc>
      </w:tr>
      <w:tr w:rsidR="00A01B64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17435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Nueva Santa Rosa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A01B64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17436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Amatitlán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551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572</w:t>
            </w:r>
          </w:p>
        </w:tc>
      </w:tr>
      <w:tr w:rsidR="00A01B64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17677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Unión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269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289</w:t>
            </w:r>
          </w:p>
        </w:tc>
      </w:tr>
      <w:tr w:rsidR="00A01B64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17678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Usumatlán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</w:tr>
      <w:tr w:rsidR="00A01B64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17701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Concepción las Minas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</w:p>
        </w:tc>
      </w:tr>
      <w:tr w:rsidR="00A01B64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17708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Río Dulce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</w:tr>
      <w:tr w:rsidR="00A01B64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17786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Puerto San José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</w:tr>
      <w:tr w:rsidR="00A01B64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17787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 José la Máquina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443</w:t>
            </w:r>
          </w:p>
        </w:tc>
      </w:tr>
      <w:tr w:rsidR="00A01B64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18420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Escuintla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335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349</w:t>
            </w:r>
          </w:p>
        </w:tc>
      </w:tr>
      <w:tr w:rsidR="00A01B64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18425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Ocós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A01B64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18428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Felipe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</w:p>
        </w:tc>
      </w:tr>
      <w:tr w:rsidR="00A01B64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1B64" w:rsidRDefault="00A01B64" w:rsidP="00A01B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18764</w:t>
            </w:r>
          </w:p>
        </w:tc>
        <w:tc>
          <w:tcPr>
            <w:tcW w:w="3040" w:type="dxa"/>
            <w:vAlign w:val="bottom"/>
          </w:tcPr>
          <w:p w:rsidR="00A01B64" w:rsidRDefault="00A01B64" w:rsidP="00A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Francisco, Petén</w:t>
            </w:r>
          </w:p>
        </w:tc>
        <w:tc>
          <w:tcPr>
            <w:tcW w:w="10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4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1220" w:type="dxa"/>
            <w:noWrap/>
            <w:vAlign w:val="center"/>
          </w:tcPr>
          <w:p w:rsidR="00A01B64" w:rsidRDefault="00A01B64" w:rsidP="00A0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</w:t>
            </w:r>
          </w:p>
        </w:tc>
      </w:tr>
      <w:tr w:rsidR="00A01B64" w:rsidRPr="0007137E" w:rsidTr="0012729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A01B64" w:rsidRPr="0007137E" w:rsidRDefault="00A01B64" w:rsidP="00A01B64">
            <w:pPr>
              <w:jc w:val="center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A01B64" w:rsidRPr="0007137E" w:rsidRDefault="00A01B64" w:rsidP="00A01B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020" w:type="dxa"/>
            <w:noWrap/>
            <w:vAlign w:val="bottom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4,113</w:t>
            </w:r>
          </w:p>
        </w:tc>
        <w:tc>
          <w:tcPr>
            <w:tcW w:w="1460" w:type="dxa"/>
            <w:noWrap/>
            <w:vAlign w:val="bottom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1060" w:type="dxa"/>
            <w:noWrap/>
            <w:vAlign w:val="bottom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1060" w:type="dxa"/>
            <w:noWrap/>
            <w:vAlign w:val="bottom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24,329</w:t>
            </w:r>
          </w:p>
        </w:tc>
        <w:tc>
          <w:tcPr>
            <w:tcW w:w="1220" w:type="dxa"/>
            <w:noWrap/>
            <w:vAlign w:val="bottom"/>
          </w:tcPr>
          <w:p w:rsidR="00A01B64" w:rsidRDefault="00A01B64" w:rsidP="00A0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28,792</w:t>
            </w:r>
          </w:p>
        </w:tc>
      </w:tr>
    </w:tbl>
    <w:p w:rsidR="00455EDF" w:rsidRDefault="00455EDF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8A3959" w:rsidRDefault="008A3959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9827E0" w:rsidRDefault="009827E0" w:rsidP="00267B92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827E0">
        <w:rPr>
          <w:rFonts w:ascii="Arial" w:hAnsi="Arial" w:cs="Arial"/>
          <w:sz w:val="24"/>
          <w:szCs w:val="24"/>
        </w:rPr>
        <w:t>Según la encuesta</w:t>
      </w:r>
      <w:r>
        <w:rPr>
          <w:rFonts w:ascii="Arial" w:hAnsi="Arial" w:cs="Arial"/>
          <w:sz w:val="24"/>
          <w:szCs w:val="24"/>
        </w:rPr>
        <w:t xml:space="preserve"> recopilada en </w:t>
      </w:r>
      <w:r w:rsidR="0010242C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mes de </w:t>
      </w:r>
      <w:r w:rsidR="00690A65">
        <w:rPr>
          <w:rFonts w:ascii="Arial" w:hAnsi="Arial" w:cs="Arial"/>
          <w:sz w:val="24"/>
          <w:szCs w:val="24"/>
        </w:rPr>
        <w:t>noviembre</w:t>
      </w:r>
      <w:r>
        <w:rPr>
          <w:rFonts w:ascii="Arial" w:hAnsi="Arial" w:cs="Arial"/>
          <w:sz w:val="24"/>
          <w:szCs w:val="24"/>
        </w:rPr>
        <w:t xml:space="preserve">, dirigida a los usuarios del servicio postal, indica que el </w:t>
      </w:r>
      <w:r w:rsidR="003A174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% de los beneficiarios del servicio pertenecen al pueblo Maya, el 3% son extranjeros y el 87% al pueblo Mestizo, tal como se evidencia en la gráfica 2.</w:t>
      </w:r>
    </w:p>
    <w:p w:rsidR="00216B4D" w:rsidRDefault="00DA068F" w:rsidP="006D7592">
      <w:pPr>
        <w:pStyle w:val="Ttulo2"/>
        <w:ind w:left="426"/>
        <w:jc w:val="center"/>
        <w:rPr>
          <w:rFonts w:ascii="Arial" w:hAnsi="Arial" w:cs="Arial"/>
          <w:color w:val="auto"/>
          <w:sz w:val="24"/>
          <w:szCs w:val="24"/>
        </w:rPr>
      </w:pPr>
      <w:bookmarkStart w:id="8" w:name="_Toc121146060"/>
      <w:r w:rsidRPr="00DA068F">
        <w:rPr>
          <w:rFonts w:ascii="Arial" w:hAnsi="Arial" w:cs="Arial"/>
          <w:color w:val="auto"/>
          <w:sz w:val="24"/>
          <w:szCs w:val="24"/>
        </w:rPr>
        <w:t xml:space="preserve">Gráfico 2: </w:t>
      </w:r>
      <w:r w:rsidR="00FE3355" w:rsidRPr="006D7592">
        <w:rPr>
          <w:rFonts w:ascii="Arial" w:hAnsi="Arial" w:cs="Arial"/>
          <w:color w:val="auto"/>
          <w:sz w:val="24"/>
          <w:szCs w:val="24"/>
        </w:rPr>
        <w:t>Pueblo</w:t>
      </w:r>
      <w:r w:rsidR="00216B4D" w:rsidRPr="006D7592">
        <w:rPr>
          <w:rFonts w:ascii="Arial" w:hAnsi="Arial" w:cs="Arial"/>
          <w:color w:val="auto"/>
          <w:sz w:val="24"/>
          <w:szCs w:val="24"/>
        </w:rPr>
        <w:t xml:space="preserve"> al que pertenecen los usuarios del servicio Postal</w:t>
      </w:r>
      <w:r w:rsidR="008459D0">
        <w:rPr>
          <w:rFonts w:ascii="Arial" w:hAnsi="Arial" w:cs="Arial"/>
          <w:color w:val="auto"/>
          <w:sz w:val="24"/>
          <w:szCs w:val="24"/>
        </w:rPr>
        <w:t xml:space="preserve"> del mes de </w:t>
      </w:r>
      <w:r w:rsidR="00690A65">
        <w:rPr>
          <w:rFonts w:ascii="Arial" w:hAnsi="Arial" w:cs="Arial"/>
          <w:color w:val="auto"/>
          <w:sz w:val="24"/>
          <w:szCs w:val="24"/>
        </w:rPr>
        <w:t>noviembre</w:t>
      </w:r>
      <w:r w:rsidR="00216B4D" w:rsidRPr="006D7592">
        <w:rPr>
          <w:rFonts w:ascii="Arial" w:hAnsi="Arial" w:cs="Arial"/>
          <w:color w:val="auto"/>
          <w:sz w:val="24"/>
          <w:szCs w:val="24"/>
        </w:rPr>
        <w:t xml:space="preserve"> del 2022</w:t>
      </w:r>
      <w:bookmarkEnd w:id="8"/>
    </w:p>
    <w:p w:rsidR="006D7592" w:rsidRPr="006D7592" w:rsidRDefault="006D7592" w:rsidP="006D7592"/>
    <w:p w:rsidR="00DA068F" w:rsidRDefault="003A174F" w:rsidP="004C628E">
      <w:pPr>
        <w:pStyle w:val="Prrafodelista"/>
        <w:spacing w:line="360" w:lineRule="auto"/>
        <w:ind w:left="567"/>
        <w:jc w:val="center"/>
      </w:pPr>
      <w:r>
        <w:rPr>
          <w:noProof/>
          <w:lang w:val="es-ES" w:eastAsia="es-ES"/>
        </w:rPr>
        <w:drawing>
          <wp:inline distT="0" distB="0" distL="0" distR="0" wp14:anchorId="1424695C" wp14:editId="2362DED7">
            <wp:extent cx="4305300" cy="1981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E4D38" w:rsidRDefault="001E4D38" w:rsidP="00BB0345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Las comunidades lingüísticas </w:t>
      </w:r>
      <w:r w:rsidR="00267B92">
        <w:rPr>
          <w:rFonts w:ascii="Arial" w:hAnsi="Arial" w:cs="Arial"/>
          <w:sz w:val="24"/>
          <w:szCs w:val="24"/>
        </w:rPr>
        <w:t xml:space="preserve">reflejadas en la encuesta del mes de </w:t>
      </w:r>
      <w:r w:rsidR="00690A65">
        <w:rPr>
          <w:rFonts w:ascii="Arial" w:hAnsi="Arial" w:cs="Arial"/>
          <w:sz w:val="24"/>
          <w:szCs w:val="24"/>
        </w:rPr>
        <w:t>noviembre</w:t>
      </w:r>
      <w:r w:rsidR="00267B92">
        <w:rPr>
          <w:rFonts w:ascii="Arial" w:hAnsi="Arial" w:cs="Arial"/>
          <w:sz w:val="24"/>
          <w:szCs w:val="24"/>
        </w:rPr>
        <w:t>, estima que</w:t>
      </w:r>
      <w:r w:rsidR="00DA068F">
        <w:rPr>
          <w:rFonts w:ascii="Arial" w:hAnsi="Arial" w:cs="Arial"/>
          <w:sz w:val="24"/>
          <w:szCs w:val="24"/>
        </w:rPr>
        <w:t>,</w:t>
      </w:r>
      <w:r w:rsidR="00267B92">
        <w:rPr>
          <w:rFonts w:ascii="Arial" w:hAnsi="Arial" w:cs="Arial"/>
          <w:sz w:val="24"/>
          <w:szCs w:val="24"/>
        </w:rPr>
        <w:t xml:space="preserve"> según la autodeterminación </w:t>
      </w:r>
      <w:r w:rsidR="006D7592">
        <w:rPr>
          <w:rFonts w:ascii="Arial" w:hAnsi="Arial" w:cs="Arial"/>
          <w:sz w:val="24"/>
          <w:szCs w:val="24"/>
        </w:rPr>
        <w:t>de los usuarios que respondieron dicha encuesta se determina que</w:t>
      </w:r>
      <w:r w:rsidR="00267B92">
        <w:rPr>
          <w:rFonts w:ascii="Arial" w:hAnsi="Arial" w:cs="Arial"/>
          <w:sz w:val="24"/>
          <w:szCs w:val="24"/>
        </w:rPr>
        <w:t xml:space="preserve">  el </w:t>
      </w:r>
      <w:r w:rsidR="003A174F">
        <w:rPr>
          <w:rFonts w:ascii="Arial" w:hAnsi="Arial" w:cs="Arial"/>
          <w:sz w:val="24"/>
          <w:szCs w:val="24"/>
        </w:rPr>
        <w:t>10</w:t>
      </w:r>
      <w:r w:rsidR="00267B92">
        <w:rPr>
          <w:rFonts w:ascii="Arial" w:hAnsi="Arial" w:cs="Arial"/>
          <w:sz w:val="24"/>
          <w:szCs w:val="24"/>
        </w:rPr>
        <w:t xml:space="preserve">% se </w:t>
      </w:r>
      <w:proofErr w:type="spellStart"/>
      <w:r w:rsidR="00267B92">
        <w:rPr>
          <w:rFonts w:ascii="Arial" w:hAnsi="Arial" w:cs="Arial"/>
          <w:sz w:val="24"/>
          <w:szCs w:val="24"/>
        </w:rPr>
        <w:t>autoidentifica</w:t>
      </w:r>
      <w:proofErr w:type="spellEnd"/>
      <w:r w:rsidR="00267B92">
        <w:rPr>
          <w:rFonts w:ascii="Arial" w:hAnsi="Arial" w:cs="Arial"/>
          <w:sz w:val="24"/>
          <w:szCs w:val="24"/>
        </w:rPr>
        <w:t xml:space="preserve"> que pertenece a comunidad</w:t>
      </w:r>
      <w:r w:rsidR="00BB0345">
        <w:rPr>
          <w:rFonts w:ascii="Arial" w:hAnsi="Arial" w:cs="Arial"/>
          <w:sz w:val="24"/>
          <w:szCs w:val="24"/>
        </w:rPr>
        <w:t>es</w:t>
      </w:r>
      <w:r w:rsidR="00267B92">
        <w:rPr>
          <w:rFonts w:ascii="Arial" w:hAnsi="Arial" w:cs="Arial"/>
          <w:sz w:val="24"/>
          <w:szCs w:val="24"/>
        </w:rPr>
        <w:t xml:space="preserve"> lingüística</w:t>
      </w:r>
      <w:r w:rsidR="00BB0345">
        <w:rPr>
          <w:rFonts w:ascii="Arial" w:hAnsi="Arial" w:cs="Arial"/>
          <w:sz w:val="24"/>
          <w:szCs w:val="24"/>
        </w:rPr>
        <w:t>s del pueblo Maya (</w:t>
      </w:r>
      <w:proofErr w:type="spellStart"/>
      <w:r w:rsidR="006D7592">
        <w:rPr>
          <w:rFonts w:ascii="Arial" w:hAnsi="Arial" w:cs="Arial"/>
          <w:sz w:val="24"/>
          <w:szCs w:val="24"/>
        </w:rPr>
        <w:t>Kaqchiquel</w:t>
      </w:r>
      <w:proofErr w:type="spellEnd"/>
      <w:r w:rsidR="006D759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B0345" w:rsidRPr="00BB0345">
        <w:rPr>
          <w:rFonts w:ascii="Arial" w:hAnsi="Arial" w:cs="Arial"/>
          <w:sz w:val="24"/>
          <w:szCs w:val="24"/>
        </w:rPr>
        <w:t>K'iche</w:t>
      </w:r>
      <w:proofErr w:type="spellEnd"/>
      <w:r w:rsidR="00BB0345" w:rsidRPr="00BB0345">
        <w:rPr>
          <w:rFonts w:ascii="Arial" w:hAnsi="Arial" w:cs="Arial"/>
          <w:sz w:val="24"/>
          <w:szCs w:val="24"/>
        </w:rPr>
        <w:t>'</w:t>
      </w:r>
      <w:r w:rsidR="00BB03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B0345" w:rsidRPr="00BB0345">
        <w:rPr>
          <w:rFonts w:ascii="Arial" w:hAnsi="Arial" w:cs="Arial"/>
          <w:sz w:val="24"/>
          <w:szCs w:val="24"/>
        </w:rPr>
        <w:t>Q'eqchi</w:t>
      </w:r>
      <w:proofErr w:type="spellEnd"/>
      <w:r w:rsidR="00BB0345" w:rsidRPr="00BB0345">
        <w:rPr>
          <w:rFonts w:ascii="Arial" w:hAnsi="Arial" w:cs="Arial"/>
          <w:sz w:val="24"/>
          <w:szCs w:val="24"/>
        </w:rPr>
        <w:t>'</w:t>
      </w:r>
      <w:r w:rsidR="00BB03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A174F">
        <w:rPr>
          <w:rFonts w:ascii="Arial" w:hAnsi="Arial" w:cs="Arial"/>
          <w:sz w:val="24"/>
          <w:szCs w:val="24"/>
        </w:rPr>
        <w:t>Mam</w:t>
      </w:r>
      <w:proofErr w:type="spellEnd"/>
      <w:r w:rsidR="006609B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6609BC">
        <w:rPr>
          <w:rFonts w:ascii="Arial" w:hAnsi="Arial" w:cs="Arial"/>
          <w:sz w:val="24"/>
          <w:szCs w:val="24"/>
        </w:rPr>
        <w:t>Achi</w:t>
      </w:r>
      <w:proofErr w:type="spellEnd"/>
      <w:r w:rsidR="006D7592">
        <w:rPr>
          <w:rFonts w:ascii="Arial" w:hAnsi="Arial" w:cs="Arial"/>
          <w:sz w:val="24"/>
          <w:szCs w:val="24"/>
        </w:rPr>
        <w:t>)</w:t>
      </w:r>
      <w:r w:rsidR="00DA068F">
        <w:rPr>
          <w:rFonts w:ascii="Arial" w:hAnsi="Arial" w:cs="Arial"/>
          <w:sz w:val="24"/>
          <w:szCs w:val="24"/>
        </w:rPr>
        <w:t>;</w:t>
      </w:r>
      <w:r w:rsidR="00BB0345">
        <w:rPr>
          <w:rFonts w:ascii="Arial" w:hAnsi="Arial" w:cs="Arial"/>
          <w:sz w:val="24"/>
          <w:szCs w:val="24"/>
        </w:rPr>
        <w:t xml:space="preserve">  </w:t>
      </w:r>
      <w:r w:rsidR="006D7592">
        <w:rPr>
          <w:rFonts w:ascii="Arial" w:hAnsi="Arial" w:cs="Arial"/>
          <w:sz w:val="24"/>
          <w:szCs w:val="24"/>
        </w:rPr>
        <w:t>y el 90</w:t>
      </w:r>
      <w:r w:rsidR="00DA068F">
        <w:rPr>
          <w:rFonts w:ascii="Arial" w:hAnsi="Arial" w:cs="Arial"/>
          <w:sz w:val="24"/>
          <w:szCs w:val="24"/>
        </w:rPr>
        <w:t xml:space="preserve">% a la comunidad lingüística Español, </w:t>
      </w:r>
      <w:r>
        <w:rPr>
          <w:rFonts w:ascii="Arial" w:hAnsi="Arial" w:cs="Arial"/>
          <w:sz w:val="24"/>
          <w:szCs w:val="24"/>
        </w:rPr>
        <w:t xml:space="preserve">tal como se </w:t>
      </w:r>
      <w:r w:rsidR="00BB0345">
        <w:rPr>
          <w:rFonts w:ascii="Arial" w:hAnsi="Arial" w:cs="Arial"/>
          <w:sz w:val="24"/>
          <w:szCs w:val="24"/>
        </w:rPr>
        <w:t xml:space="preserve">presenta </w:t>
      </w:r>
      <w:r>
        <w:rPr>
          <w:rFonts w:ascii="Arial" w:hAnsi="Arial" w:cs="Arial"/>
          <w:sz w:val="24"/>
          <w:szCs w:val="24"/>
        </w:rPr>
        <w:t xml:space="preserve"> en la gráfica </w:t>
      </w:r>
      <w:r w:rsidR="00BB034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A068F" w:rsidRPr="009827E0" w:rsidRDefault="00DA068F" w:rsidP="00BB0345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A068F" w:rsidRPr="008459D0" w:rsidRDefault="00DA068F" w:rsidP="00DA068F">
      <w:pPr>
        <w:pStyle w:val="Ttulo2"/>
        <w:ind w:left="567"/>
        <w:jc w:val="center"/>
        <w:rPr>
          <w:rFonts w:ascii="Arial" w:hAnsi="Arial" w:cs="Arial"/>
          <w:color w:val="auto"/>
          <w:sz w:val="24"/>
          <w:szCs w:val="24"/>
        </w:rPr>
      </w:pPr>
      <w:bookmarkStart w:id="9" w:name="_Toc121146061"/>
      <w:r w:rsidRPr="008459D0">
        <w:rPr>
          <w:rFonts w:ascii="Arial" w:hAnsi="Arial" w:cs="Arial"/>
          <w:color w:val="auto"/>
          <w:sz w:val="24"/>
          <w:szCs w:val="24"/>
        </w:rPr>
        <w:t xml:space="preserve">Gráfico 3: Comunidad lingüística de los beneficiarios del servicio postal del mes de </w:t>
      </w:r>
      <w:r w:rsidR="00690A65">
        <w:rPr>
          <w:rFonts w:ascii="Arial" w:hAnsi="Arial" w:cs="Arial"/>
          <w:color w:val="auto"/>
          <w:sz w:val="24"/>
          <w:szCs w:val="24"/>
        </w:rPr>
        <w:t>noviembre</w:t>
      </w:r>
      <w:r w:rsidRPr="008459D0">
        <w:rPr>
          <w:rFonts w:ascii="Arial" w:hAnsi="Arial" w:cs="Arial"/>
          <w:color w:val="auto"/>
          <w:sz w:val="24"/>
          <w:szCs w:val="24"/>
        </w:rPr>
        <w:t xml:space="preserve"> del 2022</w:t>
      </w:r>
      <w:bookmarkEnd w:id="9"/>
    </w:p>
    <w:p w:rsidR="00DA068F" w:rsidRPr="00267B92" w:rsidRDefault="00DA068F" w:rsidP="00DA068F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</w:p>
    <w:p w:rsidR="009827E0" w:rsidRDefault="003A174F" w:rsidP="009827E0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4530BC4A" wp14:editId="372B13E6">
            <wp:extent cx="4524375" cy="2035175"/>
            <wp:effectExtent l="0" t="0" r="9525" b="317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827E0" w:rsidRDefault="009827E0" w:rsidP="009827E0">
      <w:pPr>
        <w:jc w:val="center"/>
      </w:pPr>
    </w:p>
    <w:p w:rsidR="009827E0" w:rsidRPr="00BC378D" w:rsidRDefault="009827E0" w:rsidP="009827E0">
      <w:pPr>
        <w:jc w:val="center"/>
      </w:pPr>
    </w:p>
    <w:sectPr w:rsidR="009827E0" w:rsidRPr="00BC378D" w:rsidSect="0052703B">
      <w:pgSz w:w="12240" w:h="15840" w:code="1"/>
      <w:pgMar w:top="2269" w:right="1183" w:bottom="851" w:left="1276" w:header="708" w:footer="18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08" w:rsidRDefault="00C01408" w:rsidP="00DD7DE7">
      <w:pPr>
        <w:spacing w:after="0" w:line="240" w:lineRule="auto"/>
      </w:pPr>
      <w:r>
        <w:separator/>
      </w:r>
    </w:p>
  </w:endnote>
  <w:endnote w:type="continuationSeparator" w:id="0">
    <w:p w:rsidR="00C01408" w:rsidRDefault="00C01408" w:rsidP="00D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48" w:rsidRDefault="007371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04081"/>
      <w:docPartObj>
        <w:docPartGallery w:val="Page Numbers (Bottom of Page)"/>
        <w:docPartUnique/>
      </w:docPartObj>
    </w:sdtPr>
    <w:sdtEndPr/>
    <w:sdtContent>
      <w:p w:rsidR="00737148" w:rsidRDefault="0073714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002" w:rsidRPr="00081002">
          <w:rPr>
            <w:noProof/>
            <w:lang w:val="es-ES"/>
          </w:rPr>
          <w:t>8</w:t>
        </w:r>
        <w:r>
          <w:fldChar w:fldCharType="end"/>
        </w:r>
      </w:p>
    </w:sdtContent>
  </w:sdt>
  <w:p w:rsidR="00737148" w:rsidRDefault="0073714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48" w:rsidRDefault="007371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08" w:rsidRDefault="00C01408" w:rsidP="00DD7DE7">
      <w:pPr>
        <w:spacing w:after="0" w:line="240" w:lineRule="auto"/>
      </w:pPr>
      <w:r>
        <w:separator/>
      </w:r>
    </w:p>
  </w:footnote>
  <w:footnote w:type="continuationSeparator" w:id="0">
    <w:p w:rsidR="00C01408" w:rsidRDefault="00C01408" w:rsidP="00DD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48" w:rsidRDefault="007371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48" w:rsidRDefault="0073714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48" w:rsidRDefault="007371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3FA"/>
    <w:multiLevelType w:val="hybridMultilevel"/>
    <w:tmpl w:val="AB58E710"/>
    <w:lvl w:ilvl="0" w:tplc="24146F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2B2C57"/>
    <w:multiLevelType w:val="hybridMultilevel"/>
    <w:tmpl w:val="13E23FC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D6AEE"/>
    <w:multiLevelType w:val="hybridMultilevel"/>
    <w:tmpl w:val="329AB918"/>
    <w:lvl w:ilvl="0" w:tplc="A8B49C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15"/>
    <w:rsid w:val="0000430F"/>
    <w:rsid w:val="00007136"/>
    <w:rsid w:val="00064854"/>
    <w:rsid w:val="00066747"/>
    <w:rsid w:val="0007040A"/>
    <w:rsid w:val="0007137E"/>
    <w:rsid w:val="00081002"/>
    <w:rsid w:val="00082059"/>
    <w:rsid w:val="000A0B96"/>
    <w:rsid w:val="000E4374"/>
    <w:rsid w:val="000F1623"/>
    <w:rsid w:val="0010242C"/>
    <w:rsid w:val="00127291"/>
    <w:rsid w:val="0016397E"/>
    <w:rsid w:val="001670EE"/>
    <w:rsid w:val="00175240"/>
    <w:rsid w:val="001776D2"/>
    <w:rsid w:val="001A5DC0"/>
    <w:rsid w:val="001D7379"/>
    <w:rsid w:val="001E4D38"/>
    <w:rsid w:val="00216160"/>
    <w:rsid w:val="00216B4D"/>
    <w:rsid w:val="002272AF"/>
    <w:rsid w:val="00267B92"/>
    <w:rsid w:val="00291E42"/>
    <w:rsid w:val="002A1DB4"/>
    <w:rsid w:val="002B2C30"/>
    <w:rsid w:val="002B3FA4"/>
    <w:rsid w:val="002B52D4"/>
    <w:rsid w:val="002C7C76"/>
    <w:rsid w:val="002E1A12"/>
    <w:rsid w:val="003225CC"/>
    <w:rsid w:val="00323AAE"/>
    <w:rsid w:val="00330C1F"/>
    <w:rsid w:val="00375314"/>
    <w:rsid w:val="00383D53"/>
    <w:rsid w:val="00390BCD"/>
    <w:rsid w:val="0039456A"/>
    <w:rsid w:val="003A174F"/>
    <w:rsid w:val="003C4D77"/>
    <w:rsid w:val="003F09FA"/>
    <w:rsid w:val="00401DD2"/>
    <w:rsid w:val="00405A0D"/>
    <w:rsid w:val="00417578"/>
    <w:rsid w:val="00435AF0"/>
    <w:rsid w:val="0044247A"/>
    <w:rsid w:val="00455EDF"/>
    <w:rsid w:val="00455F1D"/>
    <w:rsid w:val="0046340B"/>
    <w:rsid w:val="0048338E"/>
    <w:rsid w:val="004A36A1"/>
    <w:rsid w:val="004B2A64"/>
    <w:rsid w:val="004C628E"/>
    <w:rsid w:val="004D5991"/>
    <w:rsid w:val="004E1BEC"/>
    <w:rsid w:val="004E61C3"/>
    <w:rsid w:val="00510220"/>
    <w:rsid w:val="0052703B"/>
    <w:rsid w:val="0054194A"/>
    <w:rsid w:val="00552E24"/>
    <w:rsid w:val="00556671"/>
    <w:rsid w:val="00581AD5"/>
    <w:rsid w:val="00586C00"/>
    <w:rsid w:val="00596A4E"/>
    <w:rsid w:val="005A2FE9"/>
    <w:rsid w:val="006164AD"/>
    <w:rsid w:val="006609BC"/>
    <w:rsid w:val="00684831"/>
    <w:rsid w:val="00690A65"/>
    <w:rsid w:val="006B59B0"/>
    <w:rsid w:val="006C682C"/>
    <w:rsid w:val="006D49B1"/>
    <w:rsid w:val="006D70CA"/>
    <w:rsid w:val="006D7592"/>
    <w:rsid w:val="006D7FC4"/>
    <w:rsid w:val="006F0109"/>
    <w:rsid w:val="007022DB"/>
    <w:rsid w:val="00703500"/>
    <w:rsid w:val="00716820"/>
    <w:rsid w:val="00717DE0"/>
    <w:rsid w:val="00737148"/>
    <w:rsid w:val="007565A4"/>
    <w:rsid w:val="00785238"/>
    <w:rsid w:val="007A4D97"/>
    <w:rsid w:val="007A5A39"/>
    <w:rsid w:val="007B1E9B"/>
    <w:rsid w:val="007E7EF2"/>
    <w:rsid w:val="00825FC9"/>
    <w:rsid w:val="008459D0"/>
    <w:rsid w:val="0086110C"/>
    <w:rsid w:val="008956F8"/>
    <w:rsid w:val="008A3959"/>
    <w:rsid w:val="008A4B77"/>
    <w:rsid w:val="008B5E16"/>
    <w:rsid w:val="008D57AA"/>
    <w:rsid w:val="008D6C91"/>
    <w:rsid w:val="008E1F4A"/>
    <w:rsid w:val="008E2BBC"/>
    <w:rsid w:val="00927337"/>
    <w:rsid w:val="00937D0F"/>
    <w:rsid w:val="00955CDE"/>
    <w:rsid w:val="009827E0"/>
    <w:rsid w:val="0098592F"/>
    <w:rsid w:val="009F5815"/>
    <w:rsid w:val="009F68F6"/>
    <w:rsid w:val="00A01B64"/>
    <w:rsid w:val="00A02414"/>
    <w:rsid w:val="00A05FF1"/>
    <w:rsid w:val="00A21138"/>
    <w:rsid w:val="00A27CAA"/>
    <w:rsid w:val="00A30B1D"/>
    <w:rsid w:val="00A30C65"/>
    <w:rsid w:val="00A43615"/>
    <w:rsid w:val="00A6159E"/>
    <w:rsid w:val="00A72270"/>
    <w:rsid w:val="00A849A4"/>
    <w:rsid w:val="00A970B0"/>
    <w:rsid w:val="00AA0985"/>
    <w:rsid w:val="00AA34A4"/>
    <w:rsid w:val="00AC14F8"/>
    <w:rsid w:val="00AC6BBF"/>
    <w:rsid w:val="00AC7B7F"/>
    <w:rsid w:val="00B02070"/>
    <w:rsid w:val="00B07E4F"/>
    <w:rsid w:val="00B10D38"/>
    <w:rsid w:val="00B217AE"/>
    <w:rsid w:val="00B26705"/>
    <w:rsid w:val="00B31617"/>
    <w:rsid w:val="00B440AE"/>
    <w:rsid w:val="00B61FC1"/>
    <w:rsid w:val="00B728BE"/>
    <w:rsid w:val="00B8384B"/>
    <w:rsid w:val="00B84529"/>
    <w:rsid w:val="00BB0345"/>
    <w:rsid w:val="00BB2B81"/>
    <w:rsid w:val="00BC378D"/>
    <w:rsid w:val="00BD142B"/>
    <w:rsid w:val="00BE15BC"/>
    <w:rsid w:val="00C01408"/>
    <w:rsid w:val="00C06444"/>
    <w:rsid w:val="00C21211"/>
    <w:rsid w:val="00C326B4"/>
    <w:rsid w:val="00C749FF"/>
    <w:rsid w:val="00C76B53"/>
    <w:rsid w:val="00C85518"/>
    <w:rsid w:val="00D00F54"/>
    <w:rsid w:val="00D03BDC"/>
    <w:rsid w:val="00D220BC"/>
    <w:rsid w:val="00D31DF4"/>
    <w:rsid w:val="00D54FF1"/>
    <w:rsid w:val="00D579C5"/>
    <w:rsid w:val="00D67155"/>
    <w:rsid w:val="00D7535B"/>
    <w:rsid w:val="00DA068F"/>
    <w:rsid w:val="00DA19CE"/>
    <w:rsid w:val="00DC1F65"/>
    <w:rsid w:val="00DD7DE7"/>
    <w:rsid w:val="00E56F53"/>
    <w:rsid w:val="00EA13B4"/>
    <w:rsid w:val="00F0677E"/>
    <w:rsid w:val="00F100A6"/>
    <w:rsid w:val="00F411B3"/>
    <w:rsid w:val="00F6352E"/>
    <w:rsid w:val="00F75CA4"/>
    <w:rsid w:val="00F84762"/>
    <w:rsid w:val="00F9431B"/>
    <w:rsid w:val="00F949E0"/>
    <w:rsid w:val="00FA6028"/>
    <w:rsid w:val="00FB478C"/>
    <w:rsid w:val="00FC1868"/>
    <w:rsid w:val="00FC226C"/>
    <w:rsid w:val="00FD3F21"/>
    <w:rsid w:val="00FD796C"/>
    <w:rsid w:val="00FE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  <w:style w:type="table" w:customStyle="1" w:styleId="GridTable4Accent5">
    <w:name w:val="Grid Table 4 Accent 5"/>
    <w:basedOn w:val="Tablanormal"/>
    <w:uiPriority w:val="49"/>
    <w:rsid w:val="00455E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D03BD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DA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  <w:style w:type="table" w:customStyle="1" w:styleId="GridTable4Accent5">
    <w:name w:val="Grid Table 4 Accent 5"/>
    <w:basedOn w:val="Tablanormal"/>
    <w:uiPriority w:val="49"/>
    <w:rsid w:val="00455E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D03BD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DA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Correos%202021\Henry\Metas%20f&#237;sicas\Noviembre\Meses%20para%20Jaqueline\Mayo\Metas%20f&#237;sicas%20agostoulio%20para%20socioling&#252;&#237;stic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Correos%202021\Henry\Metas%20f&#237;sicas\Noviembre\Encuesta\20%20de%20sep%20al%202%20de%20dic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Correos%202021\Henry\Metas%20f&#237;sicas\Noviembre\Encuesta\20%20de%20sep%20al%202%20de%20di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67503455079518"/>
          <c:y val="9.9320117733007446E-2"/>
          <c:w val="0.86848704532279541"/>
          <c:h val="0.7594293828966499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Febrero!$N$55:$Q$55</c:f>
              <c:strCache>
                <c:ptCount val="4"/>
                <c:pt idx="0">
                  <c:v>MAYA</c:v>
                </c:pt>
                <c:pt idx="1">
                  <c:v>GARIFUNA</c:v>
                </c:pt>
                <c:pt idx="2">
                  <c:v>XINKA</c:v>
                </c:pt>
                <c:pt idx="3">
                  <c:v>OTROS</c:v>
                </c:pt>
              </c:strCache>
            </c:strRef>
          </c:cat>
          <c:val>
            <c:numRef>
              <c:f>Febrero!$N$56:$Q$56</c:f>
              <c:numCache>
                <c:formatCode>0.00%</c:formatCode>
                <c:ptCount val="4"/>
                <c:pt idx="0">
                  <c:v>0.14285218116143372</c:v>
                </c:pt>
                <c:pt idx="1">
                  <c:v>1.7365934981939427E-3</c:v>
                </c:pt>
                <c:pt idx="2">
                  <c:v>1.0419560989163657E-2</c:v>
                </c:pt>
                <c:pt idx="3">
                  <c:v>0.84499166435120865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7364736"/>
        <c:axId val="87366272"/>
      </c:barChart>
      <c:catAx>
        <c:axId val="8736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87366272"/>
        <c:crosses val="autoZero"/>
        <c:auto val="1"/>
        <c:lblAlgn val="ctr"/>
        <c:lblOffset val="100"/>
        <c:noMultiLvlLbl val="0"/>
      </c:catAx>
      <c:valAx>
        <c:axId val="8736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87364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088332984925552"/>
          <c:y val="0.14517514637593382"/>
          <c:w val="0.33279353355166885"/>
          <c:h val="0.723185947910357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4.7160244349987251E-2"/>
                  <c:y val="-0.2090167575206945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17404129793509"/>
                      <c:h val="0.2403846153846154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7.8218859740808958E-2"/>
                  <c:y val="9.588976390974040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2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s-E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771862587972965"/>
                      <c:h val="0.2304921259842519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7.7238055420063637E-2"/>
                  <c:y val="0.1261720169594185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'TD oct'!$P$4:$P$6</c:f>
              <c:strCache>
                <c:ptCount val="3"/>
                <c:pt idx="0">
                  <c:v>Mestizo/Ladino</c:v>
                </c:pt>
                <c:pt idx="1">
                  <c:v>Maya</c:v>
                </c:pt>
                <c:pt idx="2">
                  <c:v>Extranjero</c:v>
                </c:pt>
              </c:strCache>
            </c:strRef>
          </c:cat>
          <c:val>
            <c:numRef>
              <c:f>'TD oct'!$Q$4:$Q$6</c:f>
              <c:numCache>
                <c:formatCode>0%</c:formatCode>
                <c:ptCount val="3"/>
                <c:pt idx="0">
                  <c:v>0.86440677966101698</c:v>
                </c:pt>
                <c:pt idx="1">
                  <c:v>0.10169491525423729</c:v>
                </c:pt>
                <c:pt idx="2">
                  <c:v>3.3898305084745763E-2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72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93055946953999"/>
          <c:y val="0.17507831021902293"/>
          <c:w val="0.34471634203619284"/>
          <c:h val="0.7663350817497266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6.0668600635446886E-2"/>
                  <c:y val="0.3006546206195860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758613068103329"/>
                  <c:y val="4.657493452917940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532808398950134E-3"/>
                  <c:y val="-0.149354232437014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0023373394115213E-2"/>
                  <c:y val="-0.1017091896274276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3381129990330048E-2"/>
                  <c:y val="-1.269620548601465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9372565271446331E-2"/>
                  <c:y val="0.1375473853599813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'TD oct'!$P$23:$P$28</c:f>
              <c:strCache>
                <c:ptCount val="6"/>
                <c:pt idx="0">
                  <c:v>Achi</c:v>
                </c:pt>
                <c:pt idx="1">
                  <c:v>Español</c:v>
                </c:pt>
                <c:pt idx="2">
                  <c:v>Kaqchikel</c:v>
                </c:pt>
                <c:pt idx="3">
                  <c:v>K'iche'</c:v>
                </c:pt>
                <c:pt idx="4">
                  <c:v>Q'eqchi'</c:v>
                </c:pt>
                <c:pt idx="5">
                  <c:v>Mam</c:v>
                </c:pt>
              </c:strCache>
            </c:strRef>
          </c:cat>
          <c:val>
            <c:numRef>
              <c:f>'TD oct'!$Q$23:$Q$28</c:f>
              <c:numCache>
                <c:formatCode>0%</c:formatCode>
                <c:ptCount val="6"/>
                <c:pt idx="0">
                  <c:v>1.6949152542372881E-2</c:v>
                </c:pt>
                <c:pt idx="1">
                  <c:v>0.903954802259887</c:v>
                </c:pt>
                <c:pt idx="2">
                  <c:v>5.6497175141242938E-2</c:v>
                </c:pt>
                <c:pt idx="3">
                  <c:v>5.6497175141242938E-3</c:v>
                </c:pt>
                <c:pt idx="4">
                  <c:v>5.6497175141242938E-3</c:v>
                </c:pt>
                <c:pt idx="5">
                  <c:v>1.1299435028248588E-2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9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5E6C2-CD90-4F6E-80A2-5B069E54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1104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Godinez</dc:creator>
  <cp:lastModifiedBy>Jaqueline Esther Silva Contreras</cp:lastModifiedBy>
  <cp:revision>4</cp:revision>
  <cp:lastPrinted>2022-12-06T20:45:00Z</cp:lastPrinted>
  <dcterms:created xsi:type="dcterms:W3CDTF">2022-12-06T17:16:00Z</dcterms:created>
  <dcterms:modified xsi:type="dcterms:W3CDTF">2022-12-06T20:45:00Z</dcterms:modified>
</cp:coreProperties>
</file>